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comments.xml" ContentType="application/vnd.openxmlformats-officedocument.wordprocessingml.comments+xml"/>
  <Override PartName="/word/header2.xml" ContentType="application/vnd.openxmlformats-officedocument.wordprocessingml.header+xml"/>
  <Override PartName="/word/media/image12.wmf" ContentType="image/x-wmf"/>
  <Override PartName="/word/media/image11.png" ContentType="image/png"/>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rPr>
          <w:rFonts w:cs="Arial"/>
          <w:color w:val="FF0000"/>
          <w:szCs w:val="18"/>
        </w:rPr>
      </w:pPr>
      <w:commentRangeStart w:id="0"/>
      <w:r>
        <w:rPr>
          <w:rFonts w:cs="Arial"/>
          <w:color w:val="5B5B5F"/>
          <w:sz w:val="36"/>
          <w:szCs w:val="36"/>
        </w:rPr>
        <w:t>Aviso de</w:t>
      </w:r>
      <w:r>
        <w:rPr>
          <w:rFonts w:cs="Arial"/>
          <w:color w:val="FF0000"/>
          <w:szCs w:val="18"/>
        </w:rPr>
        <w:t xml:space="preserve"> </w:t>
      </w:r>
    </w:p>
    <w:p>
      <w:pPr>
        <w:pStyle w:val="style0"/>
        <w:rPr>
          <w:rFonts w:cs="Arial"/>
          <w:color w:val="405CA1"/>
          <w:sz w:val="56"/>
          <w:szCs w:val="56"/>
        </w:rPr>
      </w:pPr>
      <w:r>
        <w:rPr>
          <w:rFonts w:cs="Arial"/>
          <w:color w:val="405CA1"/>
          <w:sz w:val="56"/>
          <w:szCs w:val="56"/>
        </w:rPr>
        <w:t>CONTRATAÇÃO</w:t>
      </w:r>
    </w:p>
    <w:p>
      <w:pPr>
        <w:pStyle w:val="style0"/>
        <w:rPr>
          <w:rFonts w:cs="Arial"/>
          <w:color w:val="405CA1"/>
          <w:sz w:val="56"/>
          <w:szCs w:val="56"/>
        </w:rPr>
      </w:pPr>
      <w:r>
        <w:rPr>
          <w:rFonts w:cs="Arial"/>
          <w:color w:val="405CA1"/>
          <w:sz w:val="56"/>
          <w:szCs w:val="56"/>
        </w:rPr>
        <w:t>DIRETA</w:t>
      </w:r>
      <w:commentRangeEnd w:id="0"/>
      <w:r>
        <w:rPr>
          <w:rFonts w:cs="Arial"/>
          <w:color w:val="405CA1"/>
          <w:sz w:val="56"/>
          <w:szCs w:val="56"/>
        </w:rPr>
      </w:r>
      <w:r>
        <w:rPr>
          <w:rFonts w:cs="Arial"/>
          <w:color w:val="405CA1"/>
          <w:sz w:val="56"/>
          <w:szCs w:val="56"/>
        </w:rPr>
        <w:commentReference w:id="0"/>
      </w:r>
    </w:p>
    <w:p>
      <w:pPr>
        <w:pStyle w:val="style0"/>
        <w:rPr>
          <w:rFonts w:cs="Arial"/>
          <w:bCs/>
          <w:color w:val="5B5B5F"/>
          <w:sz w:val="28"/>
          <w:szCs w:val="28"/>
        </w:rPr>
      </w:pPr>
      <w:r>
        <w:rPr>
          <w:rFonts w:cs="Arial"/>
          <w:bCs/>
          <w:color w:val="5B5B5F"/>
          <w:sz w:val="28"/>
          <w:szCs w:val="28"/>
        </w:rPr>
        <w:t xml:space="preserve">      </w:t>
      </w:r>
      <w:r>
        <w:rPr>
          <w:rFonts w:cs="Arial"/>
          <w:bCs/>
          <w:color w:val="5B5B5F"/>
          <w:sz w:val="28"/>
          <w:szCs w:val="28"/>
        </w:rPr>
        <w:t>/2023</w:t>
      </w:r>
    </w:p>
    <w:p>
      <w:pPr>
        <w:pStyle w:val="style0"/>
        <w:spacing w:line="252" w:lineRule="auto"/>
        <w:rPr>
          <w:rFonts w:cs="Arial"/>
          <w:b/>
          <w:bCs/>
          <w:color w:val="405CA1"/>
          <w:sz w:val="32"/>
          <w:szCs w:val="32"/>
        </w:rPr>
      </w:pPr>
      <w:r>
        <w:rPr>
          <w:rFonts w:cs="Arial"/>
          <w:b/>
          <w:bCs/>
          <w:color w:val="405CA1"/>
          <w:sz w:val="32"/>
          <w:szCs w:val="32"/>
        </w:rPr>
      </w:r>
    </w:p>
    <w:p>
      <w:pPr>
        <w:pStyle w:val="style0"/>
        <w:spacing w:line="252" w:lineRule="auto"/>
        <w:rPr>
          <w:rFonts w:cs="Arial"/>
          <w:b/>
          <w:bCs/>
          <w:color w:val="405CA1"/>
          <w:sz w:val="32"/>
          <w:szCs w:val="32"/>
        </w:rPr>
      </w:pPr>
      <w:r>
        <w:rPr>
          <w:rFonts w:cs="Arial"/>
          <w:b/>
          <w:bCs/>
          <w:color w:val="405CA1"/>
          <w:sz w:val="32"/>
          <w:szCs w:val="32"/>
        </w:rPr>
        <w:t>CONTRATANTE (UASG)</w:t>
      </w:r>
    </w:p>
    <w:p>
      <w:pPr>
        <w:pStyle w:val="style0"/>
        <w:rPr>
          <w:rFonts w:cs="Arial"/>
          <w:bCs/>
          <w:color w:val="5B5B5F"/>
          <w:sz w:val="28"/>
          <w:szCs w:val="28"/>
        </w:rPr>
      </w:pPr>
      <w:r>
        <w:rPr>
          <w:rFonts w:cs="Arial"/>
          <w:bCs/>
          <w:color w:val="5B5B5F"/>
          <w:sz w:val="28"/>
          <w:szCs w:val="28"/>
        </w:rPr>
        <w:t>160291</w:t>
      </w:r>
    </w:p>
    <w:p>
      <w:pPr>
        <w:pStyle w:val="style0"/>
        <w:rPr>
          <w:rFonts w:cs="Arial"/>
          <w:b/>
          <w:bCs/>
          <w:color w:val="405CA1"/>
          <w:sz w:val="32"/>
          <w:szCs w:val="32"/>
        </w:rPr>
      </w:pPr>
      <w:r>
        <w:rPr>
          <w:rFonts w:cs="Arial"/>
          <w:b/>
          <w:bCs/>
          <w:color w:val="405CA1"/>
          <w:sz w:val="32"/>
          <w:szCs w:val="32"/>
        </w:rPr>
      </w:r>
    </w:p>
    <w:p>
      <w:pPr>
        <w:pStyle w:val="style0"/>
        <w:rPr>
          <w:rFonts w:cs="Arial"/>
          <w:b/>
          <w:bCs/>
          <w:color w:val="405CA1"/>
          <w:sz w:val="32"/>
          <w:szCs w:val="32"/>
        </w:rPr>
      </w:pPr>
      <w:r>
        <w:rPr>
          <w:rFonts w:cs="Arial"/>
          <w:b/>
          <w:bCs/>
          <w:color w:val="405CA1"/>
          <w:sz w:val="32"/>
          <w:szCs w:val="32"/>
        </w:rPr>
        <w:t>OBJETO</w:t>
      </w:r>
    </w:p>
    <w:p>
      <w:pPr>
        <w:pStyle w:val="style0"/>
        <w:rPr>
          <w:rFonts w:cs="Arial"/>
          <w:color w:val="000000"/>
          <w:sz w:val="28"/>
          <w:szCs w:val="28"/>
        </w:rPr>
      </w:pPr>
      <w:r>
        <w:rPr>
          <w:rFonts w:cs="Arial"/>
          <w:color w:val="000000"/>
          <w:spacing w:val="-12"/>
          <w:w w:val="105"/>
          <w:sz w:val="28"/>
          <w:szCs w:val="28"/>
          <w:lang w:eastAsia="pt-BR"/>
        </w:rPr>
        <w:t xml:space="preserve">Aquisição </w:t>
      </w:r>
      <w:r>
        <w:rPr>
          <w:rFonts w:cs="Arial"/>
          <w:b/>
          <w:bCs/>
          <w:color w:val="000000"/>
          <w:spacing w:val="-12"/>
          <w:w w:val="105"/>
          <w:sz w:val="28"/>
          <w:szCs w:val="28"/>
          <w:lang w:eastAsia="pt-BR"/>
        </w:rPr>
        <w:t xml:space="preserve">de placas de aço inox; Convites; Etiquetas personalizadas; Rosas; Moldura com embalagem; Impressão de fotos; </w:t>
      </w:r>
      <w:r>
        <w:rPr>
          <w:rFonts w:cs="Arial"/>
          <w:b/>
          <w:bCs/>
          <w:color w:val="000000"/>
          <w:spacing w:val="-12"/>
          <w:w w:val="105"/>
          <w:sz w:val="28"/>
          <w:szCs w:val="28"/>
          <w:lang w:eastAsia="pt-BR"/>
        </w:rPr>
        <w:t>e Caixa de madeira com tampa de vidro.</w:t>
      </w:r>
      <w:r>
        <w:rPr>
          <w:rFonts w:cs="Arial"/>
          <w:color w:val="000000"/>
          <w:sz w:val="28"/>
          <w:szCs w:val="28"/>
        </w:rPr>
        <w:t xml:space="preserve"> </w:t>
      </w:r>
    </w:p>
    <w:p>
      <w:pPr>
        <w:pStyle w:val="style0"/>
        <w:rPr>
          <w:rFonts w:cs="Arial"/>
          <w:color w:val="5B5B5F"/>
          <w:sz w:val="32"/>
          <w:szCs w:val="32"/>
        </w:rPr>
      </w:pPr>
      <w:r>
        <w:rPr>
          <w:rFonts w:cs="Arial"/>
          <w:color w:val="5B5B5F"/>
          <w:sz w:val="32"/>
          <w:szCs w:val="32"/>
        </w:rPr>
      </w:r>
    </w:p>
    <w:p>
      <w:pPr>
        <w:pStyle w:val="style0"/>
        <w:rPr>
          <w:rFonts w:cs="Arial"/>
          <w:b/>
          <w:bCs/>
          <w:color w:val="405CA1"/>
          <w:sz w:val="32"/>
          <w:szCs w:val="32"/>
        </w:rPr>
      </w:pPr>
      <w:r>
        <w:rPr>
          <w:rFonts w:cs="Arial"/>
          <w:b/>
          <w:bCs/>
          <w:color w:val="405CA1"/>
          <w:sz w:val="32"/>
          <w:szCs w:val="32"/>
        </w:rPr>
        <w:t>VALOR TOTAL DA CONTRATAÇÃO</w:t>
      </w:r>
    </w:p>
    <w:p>
      <w:pPr>
        <w:pStyle w:val="style0"/>
        <w:rPr>
          <w:rFonts w:cs="Arial"/>
          <w:b/>
          <w:bCs/>
          <w:color w:val="000000"/>
          <w:sz w:val="28"/>
          <w:szCs w:val="28"/>
        </w:rPr>
      </w:pPr>
      <w:r>
        <w:rPr>
          <w:rFonts w:cs="Arial"/>
          <w:b/>
          <w:bCs/>
          <w:color w:val="000000"/>
          <w:sz w:val="28"/>
          <w:szCs w:val="28"/>
        </w:rPr>
        <w:t xml:space="preserve">R$ </w:t>
      </w:r>
      <w:r>
        <w:rPr>
          <w:rFonts w:cs="Arial"/>
          <w:b/>
          <w:bCs/>
          <w:color w:val="000000"/>
          <w:sz w:val="28"/>
          <w:szCs w:val="28"/>
        </w:rPr>
        <w:t>4.479,00</w:t>
      </w:r>
    </w:p>
    <w:p>
      <w:pPr>
        <w:pStyle w:val="style0"/>
        <w:rPr>
          <w:rFonts w:cs="Arial"/>
          <w:color w:val="5B5B5F"/>
          <w:sz w:val="32"/>
          <w:szCs w:val="32"/>
        </w:rPr>
      </w:pPr>
      <w:r>
        <w:rPr>
          <w:rFonts w:cs="Arial"/>
          <w:color w:val="5B5B5F"/>
          <w:sz w:val="32"/>
          <w:szCs w:val="32"/>
        </w:rPr>
      </w:r>
    </w:p>
    <w:p>
      <w:pPr>
        <w:pStyle w:val="style0"/>
        <w:rPr>
          <w:rFonts w:cs="Arial"/>
          <w:b/>
          <w:bCs/>
          <w:color w:val="405CA1"/>
          <w:sz w:val="32"/>
          <w:szCs w:val="32"/>
        </w:rPr>
      </w:pPr>
      <w:r>
        <w:rPr>
          <w:rFonts w:cs="Arial"/>
          <w:b/>
          <w:bCs/>
          <w:color w:val="405CA1"/>
          <w:sz w:val="32"/>
          <w:szCs w:val="32"/>
        </w:rPr>
        <w:t xml:space="preserve">DATA DA SESSÃO </w:t>
      </w:r>
    </w:p>
    <w:p>
      <w:pPr>
        <w:pStyle w:val="style0"/>
        <w:rPr>
          <w:rFonts w:cs="Arial"/>
          <w:b/>
          <w:bCs/>
          <w:color w:val="5B5B5F"/>
          <w:sz w:val="28"/>
          <w:szCs w:val="28"/>
        </w:rPr>
      </w:pPr>
      <w:r>
        <w:rPr>
          <w:rFonts w:cs="Arial"/>
          <w:color w:val="5B5B5F"/>
          <w:sz w:val="28"/>
          <w:szCs w:val="28"/>
        </w:rPr>
        <w:t xml:space="preserve">De  </w:t>
      </w:r>
      <w:r>
        <w:rPr>
          <w:rFonts w:cs="Arial"/>
          <w:b/>
          <w:bCs/>
          <w:color w:val="5B5B5F"/>
          <w:sz w:val="28"/>
          <w:szCs w:val="28"/>
        </w:rPr>
        <w:t xml:space="preserve">  /    /2023</w:t>
      </w:r>
    </w:p>
    <w:p>
      <w:pPr>
        <w:pStyle w:val="style0"/>
        <w:rPr>
          <w:rFonts w:cs="Arial"/>
          <w:color w:val="5B5B5F"/>
          <w:sz w:val="32"/>
          <w:szCs w:val="32"/>
        </w:rPr>
      </w:pPr>
      <w:r>
        <w:rPr>
          <w:rFonts w:cs="Arial"/>
          <w:color w:val="5B5B5F"/>
          <w:sz w:val="32"/>
          <w:szCs w:val="32"/>
        </w:rPr>
      </w:r>
    </w:p>
    <w:p>
      <w:pPr>
        <w:pStyle w:val="style0"/>
        <w:rPr>
          <w:rFonts w:cs="Arial"/>
          <w:b/>
          <w:bCs/>
          <w:color w:val="405CA1"/>
          <w:sz w:val="32"/>
          <w:szCs w:val="32"/>
        </w:rPr>
      </w:pPr>
      <w:r>
        <w:rPr>
          <w:rFonts w:cs="Arial"/>
          <w:b/>
          <w:bCs/>
          <w:color w:val="405CA1"/>
          <w:sz w:val="32"/>
          <w:szCs w:val="32"/>
        </w:rPr>
        <w:t>HORÁRIO DA FASE DE LANCES</w:t>
      </w:r>
    </w:p>
    <w:p>
      <w:pPr>
        <w:pStyle w:val="style0"/>
        <w:rPr>
          <w:rFonts w:cs="Arial"/>
          <w:color w:val="5B5B5F"/>
          <w:sz w:val="28"/>
          <w:szCs w:val="28"/>
        </w:rPr>
      </w:pPr>
      <w:r>
        <w:rPr>
          <w:rFonts w:cs="Arial"/>
          <w:color w:val="5B5B5F"/>
          <w:sz w:val="28"/>
          <w:szCs w:val="28"/>
        </w:rPr>
        <w:t>Das 09:00 até 15:00</w:t>
      </w:r>
    </w:p>
    <w:p>
      <w:pPr>
        <w:pStyle w:val="style0"/>
        <w:rPr>
          <w:rFonts w:cs="Arial"/>
          <w:b/>
          <w:bCs/>
          <w:color w:val="405CA1"/>
          <w:sz w:val="32"/>
          <w:szCs w:val="32"/>
        </w:rPr>
      </w:pPr>
      <w:r>
        <w:rPr>
          <w:rFonts w:cs="Arial"/>
          <w:b/>
          <w:bCs/>
          <w:color w:val="405CA1"/>
          <w:sz w:val="32"/>
          <w:szCs w:val="32"/>
        </w:rPr>
      </w:r>
    </w:p>
    <w:p>
      <w:pPr>
        <w:pStyle w:val="style0"/>
        <w:suppressAutoHyphens w:val="false"/>
        <w:spacing w:after="160" w:before="0" w:line="252" w:lineRule="auto"/>
        <w:contextualSpacing w:val="false"/>
        <w:rPr>
          <w:rFonts w:cs="Arial"/>
          <w:b/>
          <w:bCs/>
          <w:color w:val="5B5B5F"/>
          <w:sz w:val="28"/>
          <w:szCs w:val="28"/>
        </w:rPr>
      </w:pPr>
      <w:r>
        <w:rPr>
          <w:rFonts w:cs="Arial"/>
          <w:b/>
          <w:bCs/>
          <w:color w:val="405CA1"/>
          <w:sz w:val="32"/>
          <w:szCs w:val="32"/>
        </w:rPr>
        <w:t>PREFERÊNCIA ME/EPP/EQUIPARADAS</w:t>
        <w:br/>
      </w:r>
      <w:r>
        <w:rPr>
          <w:rFonts w:cs="Arial"/>
          <w:b/>
          <w:bCs/>
          <w:color w:val="5B5B5F"/>
          <w:sz w:val="28"/>
          <w:szCs w:val="28"/>
        </w:rPr>
        <w:t>SIM</w:t>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sectPr>
          <w:headerReference r:id="rId2" w:type="default"/>
          <w:type w:val="nextPage"/>
          <w:pgSz w:h="16838" w:w="11906"/>
          <w:pgMar w:bottom="708" w:footer="0" w:gutter="0" w:header="0" w:left="1701" w:right="1701" w:top="1417"/>
          <w:pgNumType w:fmt="decimal"/>
          <w:formProt w:val="false"/>
          <w:textDirection w:val="lrTb"/>
          <w:docGrid w:charSpace="40960" w:linePitch="400" w:type="default"/>
        </w:sect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138"/>
        <w:rPr/>
      </w:pPr>
      <w:r>
        <w:rPr/>
        <w:t>Sumário</w:t>
      </w:r>
    </w:p>
    <w:p>
      <w:pPr>
        <w:sectPr>
          <w:headerReference r:id="rId3" w:type="default"/>
          <w:footerReference r:id="rId4" w:type="default"/>
          <w:type w:val="nextPage"/>
          <w:pgSz w:h="16838" w:w="11906"/>
          <w:pgMar w:bottom="1417" w:footer="708" w:gutter="0" w:header="0" w:left="1701" w:right="1701" w:top="1417"/>
          <w:pgNumType w:fmt="decimal"/>
          <w:formProt w:val="false"/>
          <w:textDirection w:val="lrTb"/>
          <w:docGrid w:charSpace="40960" w:linePitch="400" w:type="default"/>
        </w:sectPr>
      </w:pPr>
    </w:p>
    <w:p>
      <w:pPr>
        <w:pStyle w:val="style112"/>
        <w:rPr/>
      </w:pPr>
      <w:r>
        <w:fldChar w:fldCharType="begin"/>
      </w:r>
      <w:r>
        <w:instrText> TOC </w:instrText>
      </w:r>
      <w:r>
        <w:fldChar w:fldCharType="separate"/>
      </w:r>
      <w:r>
        <w:rPr/>
      </w:r>
      <w:r>
        <w:fldChar w:fldCharType="end"/>
      </w:r>
    </w:p>
    <w:p>
      <w:pPr>
        <w:sectPr>
          <w:type w:val="continuous"/>
          <w:pgSz w:h="16838" w:w="11906"/>
          <w:pgMar w:bottom="1417" w:footer="708" w:gutter="0" w:header="0" w:left="1701" w:right="1701" w:top="1417"/>
          <w:formProt/>
          <w:textDirection w:val="lrTb"/>
          <w:docGrid w:charSpace="40960" w:linePitch="400" w:type="default"/>
        </w:sectPr>
      </w:pPr>
    </w:p>
    <w:p>
      <w:pPr>
        <w:pStyle w:val="style139"/>
        <w:tabs>
          <w:tab w:leader="dot" w:pos="8504" w:val="right"/>
        </w:tabs>
        <w:rPr>
          <w:rStyle w:val="style110"/>
          <w:shd w:fill="B2B2B2" w:val="clear"/>
        </w:rPr>
      </w:pPr>
      <w:hyperlink w:anchor="__RefHeading__4598_464428634">
        <w:r>
          <w:rPr>
            <w:rStyle w:val="style110"/>
            <w:shd w:fill="B2B2B2" w:val="clear"/>
          </w:rPr>
          <w:t>1.OBJETO DA CONTRATAÇÃO DIRETA</w:t>
          <w:tab/>
        </w:r>
        <w:r>
          <w:rPr>
            <w:rStyle w:val="style110"/>
            <w:shd w:fill="B2B2B2" w:val="clear"/>
          </w:rPr>
          <w:t>3</w:t>
        </w:r>
      </w:hyperlink>
    </w:p>
    <w:p>
      <w:pPr>
        <w:pStyle w:val="style139"/>
        <w:tabs>
          <w:tab w:leader="dot" w:pos="8504" w:val="right"/>
        </w:tabs>
        <w:rPr>
          <w:rStyle w:val="style110"/>
          <w:shd w:fill="B2B2B2" w:val="clear"/>
        </w:rPr>
      </w:pPr>
      <w:hyperlink w:anchor="__RefHeading__4600_464428634">
        <w:r>
          <w:rPr>
            <w:rStyle w:val="style110"/>
            <w:shd w:fill="B2B2B2" w:val="clear"/>
          </w:rPr>
          <w:t>2.PARTICIPAÇÃO NA DISPENSA ELETRÔNICA.</w:t>
          <w:tab/>
        </w:r>
        <w:r>
          <w:rPr>
            <w:rStyle w:val="style110"/>
            <w:shd w:fill="B2B2B2" w:val="clear"/>
          </w:rPr>
          <w:t>5</w:t>
        </w:r>
      </w:hyperlink>
    </w:p>
    <w:p>
      <w:pPr>
        <w:pStyle w:val="style139"/>
        <w:tabs>
          <w:tab w:leader="dot" w:pos="8504" w:val="right"/>
        </w:tabs>
        <w:rPr>
          <w:rStyle w:val="style110"/>
          <w:shd w:fill="B2B2B2" w:val="clear"/>
        </w:rPr>
      </w:pPr>
      <w:hyperlink w:anchor="__RefHeading__4602_464428634">
        <w:r>
          <w:rPr>
            <w:rStyle w:val="style110"/>
            <w:shd w:fill="B2B2B2" w:val="clear"/>
          </w:rPr>
          <w:t>3.INGRESSO NA DISPENSA ELETRÔNICA E CADASTRAMENTO DA PROPOSTA INICIAL</w:t>
          <w:tab/>
        </w:r>
        <w:r>
          <w:rPr>
            <w:rStyle w:val="style110"/>
            <w:shd w:fill="B2B2B2" w:val="clear"/>
          </w:rPr>
          <w:t>6</w:t>
        </w:r>
      </w:hyperlink>
    </w:p>
    <w:p>
      <w:pPr>
        <w:pStyle w:val="style139"/>
        <w:tabs>
          <w:tab w:leader="dot" w:pos="8504" w:val="right"/>
        </w:tabs>
        <w:rPr>
          <w:rStyle w:val="style110"/>
          <w:shd w:fill="B2B2B2" w:val="clear"/>
        </w:rPr>
      </w:pPr>
      <w:hyperlink w:anchor="__RefHeading__4604_464428634">
        <w:r>
          <w:rPr>
            <w:rStyle w:val="style110"/>
            <w:shd w:fill="B2B2B2" w:val="clear"/>
          </w:rPr>
          <w:t>4.FASE DE LANCES</w:t>
          <w:tab/>
          <w:t>8</w:t>
        </w:r>
      </w:hyperlink>
    </w:p>
    <w:p>
      <w:pPr>
        <w:pStyle w:val="style139"/>
        <w:tabs>
          <w:tab w:leader="dot" w:pos="8504" w:val="right"/>
        </w:tabs>
        <w:rPr>
          <w:rStyle w:val="style110"/>
          <w:shd w:fill="B2B2B2" w:val="clear"/>
        </w:rPr>
      </w:pPr>
      <w:hyperlink w:anchor="__RefHeading__4606_464428634">
        <w:r>
          <w:rPr>
            <w:rStyle w:val="style110"/>
            <w:shd w:fill="B2B2B2" w:val="clear"/>
          </w:rPr>
          <w:t>5.JULGAMENTO DAS PROPOSTAS DE PREÇO</w:t>
          <w:tab/>
          <w:t>8</w:t>
        </w:r>
      </w:hyperlink>
    </w:p>
    <w:p>
      <w:pPr>
        <w:pStyle w:val="style139"/>
        <w:tabs>
          <w:tab w:leader="dot" w:pos="8504" w:val="right"/>
        </w:tabs>
        <w:rPr>
          <w:rStyle w:val="style110"/>
          <w:shd w:fill="B2B2B2" w:val="clear"/>
        </w:rPr>
      </w:pPr>
      <w:hyperlink w:anchor="__RefHeading__4608_464428634">
        <w:r>
          <w:rPr>
            <w:rStyle w:val="style110"/>
            <w:shd w:fill="B2B2B2" w:val="clear"/>
          </w:rPr>
          <w:t>6.HABILITAÇÃO</w:t>
          <w:tab/>
          <w:t>10</w:t>
        </w:r>
      </w:hyperlink>
    </w:p>
    <w:p>
      <w:pPr>
        <w:pStyle w:val="style139"/>
        <w:tabs>
          <w:tab w:leader="dot" w:pos="8504" w:val="right"/>
        </w:tabs>
        <w:rPr>
          <w:rStyle w:val="style110"/>
          <w:shd w:fill="B2B2B2" w:val="clear"/>
        </w:rPr>
      </w:pPr>
      <w:hyperlink w:anchor="__RefHeading__4610_464428634">
        <w:r>
          <w:rPr>
            <w:rStyle w:val="style110"/>
            <w:shd w:fill="B2B2B2" w:val="clear"/>
          </w:rPr>
          <w:t>7.CONTRATAÇÃO</w:t>
          <w:tab/>
          <w:t>11</w:t>
        </w:r>
      </w:hyperlink>
    </w:p>
    <w:p>
      <w:pPr>
        <w:pStyle w:val="style139"/>
        <w:tabs>
          <w:tab w:leader="dot" w:pos="8504" w:val="right"/>
        </w:tabs>
        <w:rPr>
          <w:rStyle w:val="style110"/>
          <w:shd w:fill="B2B2B2" w:val="clear"/>
        </w:rPr>
      </w:pPr>
      <w:hyperlink w:anchor="__RefHeading__4612_464428634">
        <w:r>
          <w:rPr>
            <w:rStyle w:val="style110"/>
            <w:shd w:fill="B2B2B2" w:val="clear"/>
          </w:rPr>
          <w:t>8.INFRAÇÕES E SANÇÕES ADMINISTRATIVAS</w:t>
          <w:tab/>
          <w:t>12</w:t>
        </w:r>
      </w:hyperlink>
    </w:p>
    <w:p>
      <w:pPr>
        <w:pStyle w:val="style139"/>
        <w:tabs>
          <w:tab w:leader="dot" w:pos="8504" w:val="right"/>
        </w:tabs>
        <w:rPr>
          <w:rStyle w:val="style110"/>
          <w:shd w:fill="B2B2B2" w:val="clear"/>
        </w:rPr>
      </w:pPr>
      <w:hyperlink w:anchor="__RefHeading__4614_464428634">
        <w:r>
          <w:rPr>
            <w:rStyle w:val="style110"/>
            <w:shd w:fill="B2B2B2" w:val="clear"/>
          </w:rPr>
          <w:t>9.DAS DISPOSIÇÕES GERAIS</w:t>
          <w:tab/>
          <w:t>1</w:t>
        </w:r>
        <w:r>
          <w:rPr>
            <w:rStyle w:val="style110"/>
            <w:shd w:fill="B2B2B2" w:val="clear"/>
          </w:rPr>
          <w:t>4</w:t>
        </w:r>
      </w:hyperlink>
    </w:p>
    <w:p>
      <w:pPr>
        <w:sectPr>
          <w:type w:val="continuous"/>
          <w:pgSz w:h="16838" w:w="11906"/>
          <w:pgMar w:bottom="1417" w:footer="708" w:gutter="0" w:header="0" w:left="1701" w:right="1701" w:top="1417"/>
          <w:formProt w:val="false"/>
          <w:textDirection w:val="lrTb"/>
          <w:docGrid w:charSpace="40960" w:linePitch="400" w:type="default"/>
        </w:sectPr>
      </w:pPr>
    </w:p>
    <w:p>
      <w:pPr>
        <w:pStyle w:val="style0"/>
        <w:rPr>
          <w:shd w:fill="B2B2B2" w:val="clear"/>
        </w:rPr>
      </w:pPr>
      <w:r>
        <w:rPr>
          <w:shd w:fill="B2B2B2" w:val="clear"/>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suppressAutoHyphens w:val="false"/>
        <w:spacing w:after="160" w:before="0" w:line="252" w:lineRule="auto"/>
        <w:contextualSpacing w:val="false"/>
        <w:rPr>
          <w:rFonts w:cs="Arial"/>
          <w:b/>
          <w:bCs/>
          <w:i/>
          <w:iCs/>
          <w:color w:val="FF0000"/>
          <w:szCs w:val="20"/>
        </w:rPr>
      </w:pPr>
      <w:r>
        <w:rPr>
          <w:rFonts w:cs="Arial"/>
          <w:b/>
          <w:bCs/>
          <w:i/>
          <w:iCs/>
          <w:color w:val="FF0000"/>
          <w:szCs w:val="20"/>
        </w:rPr>
      </w:r>
    </w:p>
    <w:p>
      <w:pPr>
        <w:pStyle w:val="style0"/>
        <w:pageBreakBefore/>
        <w:widowControl w:val="false"/>
        <w:tabs>
          <w:tab w:leader="none" w:pos="9071" w:val="left"/>
        </w:tabs>
        <w:ind w:hanging="0" w:left="114" w:right="0"/>
        <w:jc w:val="center"/>
        <w:rPr/>
      </w:pPr>
      <w:r>
        <w:rPr/>
        <w:drawing>
          <wp:inline distB="0" distL="0" distR="0" distT="0">
            <wp:extent cx="797560" cy="850900"/>
            <wp:effectExtent b="0" l="0" r="0" t="0"/>
            <wp:docPr desc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Picture"/>
                    <pic:cNvPicPr>
                      <a:picLocks noChangeArrowheads="1" noChangeAspect="1"/>
                    </pic:cNvPicPr>
                  </pic:nvPicPr>
                  <pic:blipFill>
                    <a:blip r:embed="rId5"/>
                    <a:srcRect/>
                    <a:stretch>
                      <a:fillRect/>
                    </a:stretch>
                  </pic:blipFill>
                  <pic:spPr bwMode="auto">
                    <a:xfrm>
                      <a:off x="0" y="0"/>
                      <a:ext cx="797560" cy="850900"/>
                    </a:xfrm>
                    <a:prstGeom prst="rect">
                      <a:avLst/>
                    </a:prstGeom>
                    <a:noFill/>
                    <a:ln w="9525">
                      <a:noFill/>
                      <a:miter lim="800000"/>
                      <a:headEnd/>
                      <a:tailEnd/>
                    </a:ln>
                  </pic:spPr>
                </pic:pic>
              </a:graphicData>
            </a:graphic>
          </wp:inline>
        </w:drawing>
      </w:r>
    </w:p>
    <w:p>
      <w:pPr>
        <w:pStyle w:val="style0"/>
        <w:widowControl w:val="false"/>
        <w:spacing w:line="216" w:lineRule="auto"/>
        <w:jc w:val="center"/>
        <w:rPr>
          <w:rFonts w:cs="Arial"/>
          <w:b/>
          <w:sz w:val="24"/>
          <w:lang w:eastAsia="en-US" w:val="pt-PT"/>
        </w:rPr>
      </w:pPr>
      <w:r>
        <w:rPr>
          <w:rFonts w:cs="Arial"/>
          <w:b/>
          <w:sz w:val="24"/>
          <w:lang w:eastAsia="en-US" w:val="pt-PT"/>
        </w:rPr>
        <w:t>MINISTÉRIO DA DEFESA</w:t>
      </w:r>
    </w:p>
    <w:p>
      <w:pPr>
        <w:pStyle w:val="style0"/>
        <w:widowControl w:val="false"/>
        <w:spacing w:line="216" w:lineRule="auto"/>
        <w:jc w:val="center"/>
        <w:rPr>
          <w:rFonts w:cs="Arial"/>
          <w:b/>
          <w:sz w:val="24"/>
          <w:lang w:eastAsia="en-US" w:val="pt-PT"/>
        </w:rPr>
      </w:pPr>
      <w:r>
        <w:rPr>
          <w:rFonts w:cs="Arial"/>
          <w:b/>
          <w:sz w:val="24"/>
          <w:lang w:eastAsia="en-US" w:val="pt-PT"/>
        </w:rPr>
        <w:t>EXÉRCITO BRASILEIRO</w:t>
      </w:r>
    </w:p>
    <w:p>
      <w:pPr>
        <w:pStyle w:val="style0"/>
        <w:widowControl w:val="false"/>
        <w:spacing w:line="216" w:lineRule="auto"/>
        <w:jc w:val="center"/>
        <w:rPr>
          <w:rFonts w:cs="Arial"/>
          <w:b/>
          <w:sz w:val="24"/>
          <w:lang w:eastAsia="en-US" w:val="pt-PT"/>
        </w:rPr>
      </w:pPr>
      <w:r>
        <w:rPr>
          <w:rFonts w:cs="Arial"/>
          <w:b/>
          <w:sz w:val="24"/>
          <w:lang w:eastAsia="en-US" w:val="pt-PT"/>
        </w:rPr>
        <w:t>DEPARTAMENTO DE CIENCIA E TECNOLOGIA</w:t>
      </w:r>
    </w:p>
    <w:p>
      <w:pPr>
        <w:pStyle w:val="style0"/>
        <w:widowControl w:val="false"/>
        <w:spacing w:line="216" w:lineRule="auto"/>
        <w:jc w:val="center"/>
        <w:rPr>
          <w:rFonts w:cs="Arial"/>
          <w:b/>
          <w:bCs/>
          <w:sz w:val="24"/>
          <w:lang w:eastAsia="en-US" w:val="pt-PT"/>
        </w:rPr>
      </w:pPr>
      <w:r>
        <w:rPr>
          <w:rFonts w:cs="Arial"/>
          <w:b/>
          <w:bCs/>
          <w:sz w:val="24"/>
          <w:lang w:eastAsia="en-US" w:val="pt-PT"/>
        </w:rPr>
        <w:t>CENTRO TECNOLÓGICO DO EXÉRCITO</w:t>
      </w:r>
    </w:p>
    <w:p>
      <w:pPr>
        <w:pStyle w:val="style0"/>
        <w:widowControl w:val="false"/>
        <w:spacing w:line="216" w:lineRule="auto"/>
        <w:jc w:val="center"/>
        <w:rPr>
          <w:rFonts w:cs="Arial"/>
          <w:b/>
          <w:bCs/>
          <w:color w:val="000000"/>
          <w:sz w:val="24"/>
          <w:lang w:eastAsia="en-US" w:val="pt-PT"/>
        </w:rPr>
      </w:pPr>
      <w:bookmarkStart w:id="0" w:name="_Hlk81386706"/>
      <w:bookmarkEnd w:id="0"/>
      <w:r>
        <w:rPr>
          <w:rFonts w:cs="Arial"/>
          <w:b/>
          <w:bCs/>
          <w:color w:val="000000"/>
          <w:sz w:val="24"/>
          <w:lang w:eastAsia="en-US" w:val="pt-PT"/>
        </w:rPr>
        <w:t>CENTRO TECNOLÓGICO GENERAL ARGUS</w:t>
      </w:r>
    </w:p>
    <w:p>
      <w:pPr>
        <w:pStyle w:val="style0"/>
        <w:jc w:val="center"/>
        <w:rPr>
          <w:rFonts w:cs="Arial"/>
          <w:b/>
          <w:bCs/>
          <w:color w:val="000000"/>
          <w:szCs w:val="20"/>
          <w:lang w:val="pt-PT"/>
        </w:rPr>
      </w:pPr>
      <w:r>
        <w:rPr>
          <w:rFonts w:cs="Arial"/>
          <w:b/>
          <w:bCs/>
          <w:color w:val="000000"/>
          <w:szCs w:val="20"/>
          <w:lang w:val="pt-PT"/>
        </w:rPr>
      </w:r>
    </w:p>
    <w:p>
      <w:pPr>
        <w:pStyle w:val="style0"/>
        <w:jc w:val="center"/>
        <w:rPr>
          <w:rFonts w:cs="Arial"/>
          <w:b/>
          <w:bCs/>
          <w:color w:val="000000"/>
          <w:szCs w:val="20"/>
        </w:rPr>
      </w:pPr>
      <w:r>
        <w:rPr>
          <w:rFonts w:cs="Arial"/>
          <w:b/>
          <w:bCs/>
          <w:color w:val="000000"/>
          <w:szCs w:val="20"/>
        </w:rPr>
        <w:t>AVISO DE CONTRATAÇÃO DIRETA   Nº     /2023</w:t>
      </w:r>
    </w:p>
    <w:p>
      <w:pPr>
        <w:pStyle w:val="style0"/>
        <w:spacing w:line="276" w:lineRule="auto"/>
        <w:jc w:val="center"/>
        <w:rPr>
          <w:rFonts w:cs="Arial"/>
          <w:b/>
          <w:bCs/>
          <w:color w:val="000000"/>
          <w:szCs w:val="20"/>
        </w:rPr>
      </w:pPr>
      <w:r>
        <w:rPr>
          <w:rFonts w:cs="Arial"/>
          <w:b/>
          <w:bCs/>
          <w:color w:val="000000"/>
          <w:szCs w:val="20"/>
        </w:rPr>
      </w:r>
    </w:p>
    <w:p>
      <w:pPr>
        <w:pStyle w:val="style0"/>
        <w:spacing w:after="120" w:before="0" w:line="276" w:lineRule="auto"/>
        <w:ind w:hanging="0" w:left="0" w:right="-15"/>
        <w:contextualSpacing w:val="false"/>
        <w:jc w:val="center"/>
        <w:rPr>
          <w:rFonts w:cs="Arial"/>
          <w:b/>
          <w:bCs/>
          <w:color w:val="000000"/>
          <w:szCs w:val="20"/>
        </w:rPr>
      </w:pPr>
      <w:r>
        <w:rPr>
          <w:rFonts w:cs="Arial"/>
          <w:b/>
          <w:bCs/>
          <w:color w:val="000000"/>
          <w:szCs w:val="20"/>
        </w:rPr>
        <w:t>(Processo Administrativo n.º                                        )</w:t>
      </w:r>
    </w:p>
    <w:p>
      <w:pPr>
        <w:pStyle w:val="style0"/>
        <w:rPr>
          <w:rFonts w:cs="Arial"/>
        </w:rPr>
      </w:pPr>
      <w:r>
        <w:rPr>
          <w:rFonts w:cs="Arial"/>
        </w:rPr>
      </w:r>
    </w:p>
    <w:p>
      <w:pPr>
        <w:pStyle w:val="style0"/>
        <w:spacing w:after="120" w:before="0" w:line="276" w:lineRule="auto"/>
        <w:ind w:firstLine="540" w:left="0" w:right="-30"/>
        <w:contextualSpacing w:val="false"/>
        <w:jc w:val="both"/>
        <w:rPr>
          <w:rFonts w:cs="Arial"/>
          <w:color w:val="000000"/>
          <w:szCs w:val="20"/>
        </w:rPr>
      </w:pPr>
      <w:commentRangeStart w:id="1"/>
      <w:r>
        <w:rPr>
          <w:rFonts w:cs="Arial"/>
          <w:color w:val="000000"/>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szCs w:val="20"/>
        </w:rPr>
        <w:t>com critério de julgamento</w:t>
      </w:r>
      <w:r>
        <w:rPr>
          <w:rFonts w:cs="Arial"/>
          <w:b/>
          <w:bCs/>
          <w:color w:val="000000"/>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szCs w:val="20"/>
        </w:rPr>
        <w:t xml:space="preserve">na hipótese do </w:t>
      </w:r>
      <w:r>
        <w:fldChar w:fldCharType="begin"/>
      </w:r>
      <w:r>
        <w:instrText> HYPERLINK "http://www.planalto.gov.br/ccivil_03/_ato2019-2022/2021/lei/L14133.htm" \l "art75"</w:instrText>
      </w:r>
      <w:r>
        <w:fldChar w:fldCharType="separate"/>
      </w:r>
      <w:r>
        <w:rPr>
          <w:rStyle w:val="style24"/>
          <w:rFonts w:cs="Arial"/>
          <w:szCs w:val="20"/>
        </w:rPr>
        <w:t>art. 75</w:t>
      </w:r>
      <w:r>
        <w:fldChar w:fldCharType="end"/>
      </w:r>
      <w:r>
        <w:rPr>
          <w:rFonts w:cs="Arial"/>
          <w:i/>
          <w:iCs/>
          <w:color w:val="000000"/>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6">
        <w:r>
          <w:rPr>
            <w:rStyle w:val="style24"/>
            <w:rFonts w:cs="Arial"/>
            <w:bCs/>
            <w:szCs w:val="20"/>
          </w:rPr>
          <w:t>Lei n.º 14.133, de 1º de abril de 2021</w:t>
        </w:r>
      </w:hyperlink>
      <w:r>
        <w:rPr>
          <w:rFonts w:cs="Arial"/>
          <w:bCs/>
          <w:szCs w:val="20"/>
        </w:rPr>
        <w:t xml:space="preserve">, da </w:t>
      </w:r>
      <w:hyperlink r:id="rId7">
        <w:r>
          <w:rPr>
            <w:rStyle w:val="style24"/>
            <w:rFonts w:cs="Arial"/>
            <w:bCs/>
            <w:szCs w:val="20"/>
          </w:rPr>
          <w:t>Instrução Normativa Seges/ME nº 67, de 2021</w:t>
        </w:r>
      </w:hyperlink>
      <w:r>
        <w:rPr>
          <w:rFonts w:cs="Arial"/>
          <w:bCs/>
          <w:szCs w:val="20"/>
        </w:rPr>
        <w:t>, e demais normas aplicáveis</w:t>
      </w:r>
      <w:r>
        <w:rPr>
          <w:rFonts w:cs="Arial"/>
          <w:color w:val="000000"/>
          <w:szCs w:val="20"/>
        </w:rPr>
        <w:t>.</w:t>
      </w:r>
      <w:commentRangeEnd w:id="1"/>
      <w:r>
        <w:rPr>
          <w:rFonts w:cs="Arial"/>
          <w:color w:val="000000"/>
          <w:szCs w:val="20"/>
        </w:rPr>
      </w:r>
      <w:r>
        <w:rPr>
          <w:rFonts w:cs="Arial"/>
          <w:color w:val="000000"/>
          <w:szCs w:val="20"/>
        </w:rPr>
        <w:commentReference w:id="1"/>
      </w:r>
    </w:p>
    <w:p>
      <w:pPr>
        <w:pStyle w:val="style0"/>
        <w:spacing w:line="276" w:lineRule="auto"/>
        <w:jc w:val="both"/>
        <w:rPr>
          <w:rFonts w:cs="Arial"/>
          <w:color w:val="000000"/>
          <w:szCs w:val="20"/>
        </w:rPr>
      </w:pPr>
      <w:r>
        <w:rPr>
          <w:rFonts w:cs="Arial"/>
          <w:color w:val="000000"/>
          <w:szCs w:val="20"/>
        </w:rPr>
      </w:r>
    </w:p>
    <w:p>
      <w:pPr>
        <w:pStyle w:val="style0"/>
        <w:spacing w:line="276" w:lineRule="auto"/>
        <w:jc w:val="both"/>
        <w:rPr>
          <w:rFonts w:cs="Arial"/>
          <w:color w:val="000000"/>
          <w:szCs w:val="20"/>
        </w:rPr>
      </w:pPr>
      <w:r>
        <w:rPr>
          <w:rFonts w:cs="Arial"/>
          <w:color w:val="000000"/>
          <w:szCs w:val="20"/>
        </w:rPr>
      </w:r>
    </w:p>
    <w:p>
      <w:pPr>
        <w:pStyle w:val="style0"/>
        <w:spacing w:line="276" w:lineRule="auto"/>
        <w:jc w:val="both"/>
        <w:rPr>
          <w:rFonts w:cs="Arial"/>
          <w:b/>
          <w:bCs/>
          <w:color w:val="000000"/>
          <w:szCs w:val="20"/>
        </w:rPr>
      </w:pPr>
      <w:r>
        <w:rPr>
          <w:rFonts w:cs="Arial"/>
          <w:b/>
          <w:bCs/>
          <w:color w:val="000000"/>
          <w:szCs w:val="20"/>
        </w:rPr>
        <w:t>Data da sessão: ___/___/______</w:t>
      </w:r>
    </w:p>
    <w:p>
      <w:pPr>
        <w:pStyle w:val="style0"/>
        <w:rPr>
          <w:rFonts w:cs="Arial"/>
          <w:color w:val="000000"/>
          <w:szCs w:val="20"/>
        </w:rPr>
      </w:pPr>
      <w:commentRangeStart w:id="2"/>
      <w:r>
        <w:rPr>
          <w:rFonts w:cs="Arial"/>
          <w:b/>
          <w:bCs/>
          <w:color w:val="000000"/>
          <w:szCs w:val="20"/>
        </w:rPr>
        <w:t>Horário da Fase de Lances:</w:t>
      </w:r>
      <w:r>
        <w:rPr>
          <w:rFonts w:cs="Arial"/>
          <w:color w:val="000000"/>
          <w:szCs w:val="20"/>
        </w:rPr>
        <w:t xml:space="preserve"> 09:00 às </w:t>
      </w:r>
      <w:commentRangeEnd w:id="2"/>
      <w:r>
        <w:rPr>
          <w:rFonts w:cs="Arial"/>
          <w:color w:val="000000"/>
          <w:szCs w:val="20"/>
        </w:rPr>
      </w:r>
      <w:r>
        <w:rPr>
          <w:rFonts w:cs="Arial"/>
          <w:color w:val="000000"/>
          <w:szCs w:val="20"/>
        </w:rPr>
        <w:commentReference w:id="2"/>
      </w:r>
      <w:r>
        <w:rPr>
          <w:rFonts w:cs="Arial"/>
          <w:color w:val="000000"/>
          <w:szCs w:val="20"/>
        </w:rPr>
        <w:t>15:00</w:t>
      </w:r>
    </w:p>
    <w:p>
      <w:pPr>
        <w:pStyle w:val="style0"/>
        <w:rPr>
          <w:u w:val="single"/>
        </w:rPr>
      </w:pPr>
      <w:r>
        <w:rPr>
          <w:rFonts w:cs="Arial"/>
          <w:b/>
          <w:bCs/>
          <w:color w:val="000000"/>
          <w:szCs w:val="20"/>
        </w:rPr>
        <w:t>Link</w:t>
      </w:r>
      <w:r>
        <w:rPr>
          <w:rFonts w:cs="Arial"/>
          <w:color w:val="000000"/>
          <w:szCs w:val="20"/>
        </w:rPr>
        <w:t xml:space="preserve">: </w:t>
      </w:r>
      <w:r>
        <w:rPr>
          <w:u w:val="single"/>
        </w:rPr>
        <w:t>https://pncp.gov.br/editais?q=160291&amp;&amp;pagina=1</w:t>
      </w:r>
    </w:p>
    <w:p>
      <w:pPr>
        <w:pStyle w:val="style0"/>
        <w:spacing w:line="276" w:lineRule="auto"/>
        <w:ind w:hanging="0" w:left="0" w:right="-15"/>
        <w:jc w:val="both"/>
        <w:rPr>
          <w:rFonts w:cs="Arial"/>
          <w:i/>
          <w:iCs/>
          <w:szCs w:val="20"/>
        </w:rPr>
      </w:pPr>
      <w:r>
        <w:rPr>
          <w:rFonts w:cs="Arial"/>
          <w:b/>
          <w:bCs/>
          <w:i/>
          <w:iCs/>
          <w:szCs w:val="20"/>
        </w:rPr>
        <w:t>Critério de Julgamento:</w:t>
      </w:r>
      <w:r>
        <w:rPr>
          <w:rFonts w:cs="Arial"/>
          <w:szCs w:val="20"/>
        </w:rPr>
        <w:t xml:space="preserve"> </w:t>
      </w:r>
      <w:r>
        <w:rPr>
          <w:rFonts w:cs="Arial"/>
          <w:i/>
          <w:iCs/>
          <w:szCs w:val="20"/>
        </w:rPr>
        <w:t xml:space="preserve">menor preço </w:t>
      </w:r>
    </w:p>
    <w:p>
      <w:pPr>
        <w:pStyle w:val="style0"/>
        <w:spacing w:line="276" w:lineRule="auto"/>
        <w:ind w:hanging="0" w:left="0" w:right="-15"/>
        <w:jc w:val="both"/>
        <w:rPr/>
      </w:pPr>
      <w:r>
        <w:rPr/>
        <w:commentReference w:id="3"/>
      </w:r>
    </w:p>
    <w:p>
      <w:pPr>
        <w:pStyle w:val="style0"/>
        <w:spacing w:line="276" w:lineRule="auto"/>
        <w:ind w:hanging="0" w:left="0" w:right="-15"/>
        <w:jc w:val="both"/>
        <w:rPr>
          <w:rFonts w:cs="Arial"/>
          <w:b/>
          <w:bCs/>
          <w:i/>
          <w:iCs/>
          <w:color w:val="FF0000"/>
        </w:rPr>
      </w:pPr>
      <w:r>
        <w:rPr>
          <w:rFonts w:cs="Arial"/>
          <w:b/>
          <w:bCs/>
          <w:i/>
          <w:iCs/>
          <w:color w:val="FF0000"/>
        </w:rPr>
      </w:r>
    </w:p>
    <w:p>
      <w:pPr>
        <w:pStyle w:val="style0"/>
        <w:rPr/>
      </w:pPr>
      <w:r>
        <w:rPr/>
      </w:r>
    </w:p>
    <w:p>
      <w:pPr>
        <w:pStyle w:val="style1"/>
        <w:numPr>
          <w:ilvl w:val="0"/>
          <w:numId w:val="1"/>
        </w:numPr>
        <w:rPr/>
      </w:pPr>
      <w:bookmarkStart w:id="1" w:name="__RefHeading__1199_195451382"/>
      <w:bookmarkStart w:id="2" w:name="_Toc118380899"/>
      <w:bookmarkEnd w:id="1"/>
      <w:bookmarkEnd w:id="2"/>
      <w:r>
        <w:rPr/>
        <w:t>OBJETO DA CONTRATAÇÃO DIRETA</w:t>
      </w:r>
    </w:p>
    <w:p>
      <w:pPr>
        <w:pStyle w:val="style120"/>
        <w:keepNext/>
        <w:widowControl/>
        <w:numPr>
          <w:ilvl w:val="1"/>
          <w:numId w:val="1"/>
        </w:numPr>
        <w:shd w:fill="FFFFFF" w:val="clear"/>
        <w:spacing w:after="120" w:before="120"/>
        <w:contextualSpacing w:val="false"/>
        <w:rPr>
          <w:rFonts w:ascii="Arial" w:cs="Arial" w:hAnsi="Arial"/>
          <w:color w:val="000000"/>
          <w:szCs w:val="20"/>
        </w:rPr>
      </w:pPr>
      <w:r>
        <w:rPr>
          <w:rFonts w:ascii="Arial" w:cs="Arial" w:hAnsi="Arial"/>
          <w:color w:val="000000"/>
          <w:szCs w:val="20"/>
        </w:rPr>
        <w:t xml:space="preserve">O objeto da presente dispensa é a escolha da proposta mais vantajosa para a </w:t>
      </w:r>
      <w:r>
        <w:rPr>
          <w:rFonts w:ascii="Arial" w:cs="Arial" w:hAnsi="Arial"/>
          <w:szCs w:val="20"/>
        </w:rPr>
        <w:t xml:space="preserve">contratação, </w:t>
      </w:r>
      <w:r>
        <w:rPr>
          <w:rFonts w:ascii="Arial" w:cs="Arial" w:hAnsi="Arial"/>
          <w:color w:val="000000"/>
          <w:szCs w:val="20"/>
        </w:rPr>
        <w:t>por dispensa de licitação, de materiais institucionais</w:t>
      </w:r>
      <w:r>
        <w:rPr>
          <w:rFonts w:ascii="Arial" w:cs="Arial" w:hAnsi="Arial"/>
          <w:b/>
          <w:bCs/>
          <w:color w:val="000000"/>
          <w:szCs w:val="20"/>
        </w:rPr>
        <w:t>,</w:t>
      </w:r>
      <w:r>
        <w:rPr>
          <w:rFonts w:ascii="Arial" w:cs="Arial" w:hAnsi="Arial"/>
          <w:color w:val="000000"/>
          <w:szCs w:val="20"/>
        </w:rPr>
        <w:t xml:space="preserve"> conforme condições, quantidades e exigências estabelecidas neste Aviso de Contratação Direta e seus anexos.</w:t>
      </w:r>
    </w:p>
    <w:p>
      <w:pPr>
        <w:pStyle w:val="style120"/>
        <w:keepNext/>
        <w:widowControl/>
        <w:numPr>
          <w:ilvl w:val="1"/>
          <w:numId w:val="1"/>
        </w:numPr>
        <w:shd w:fill="FFFFFF" w:val="clear"/>
        <w:spacing w:after="120" w:before="120"/>
        <w:contextualSpacing w:val="false"/>
        <w:rPr>
          <w:rFonts w:ascii="Arial" w:cs="Arial" w:hAnsi="Arial"/>
          <w:szCs w:val="20"/>
        </w:rPr>
      </w:pPr>
      <w:commentRangeStart w:id="4"/>
      <w:r>
        <w:rPr>
          <w:rFonts w:ascii="Arial" w:cs="Arial" w:hAnsi="Arial"/>
          <w:szCs w:val="20"/>
        </w:rPr>
        <w:t>A contratação ocorrerá conforme tabela abaixo.</w:t>
      </w:r>
      <w:commentRangeEnd w:id="4"/>
      <w:r>
        <w:rPr>
          <w:rFonts w:ascii="Arial" w:cs="Arial" w:hAnsi="Arial"/>
          <w:szCs w:val="20"/>
        </w:rPr>
      </w:r>
      <w:r>
        <w:rPr>
          <w:rFonts w:ascii="Arial" w:cs="Arial" w:hAnsi="Arial"/>
          <w:szCs w:val="20"/>
        </w:rPr>
        <w:commentReference w:id="4"/>
      </w:r>
    </w:p>
    <w:tbl>
      <w:tblPr>
        <w:jc w:val="left"/>
        <w:tblInd w:type="dxa" w:w="111"/>
        <w:tblBorders>
          <w:top w:color="000001" w:space="0" w:sz="4" w:val="single"/>
          <w:left w:color="000001" w:space="0" w:sz="4" w:val="single"/>
          <w:bottom w:color="000001" w:space="0" w:sz="4" w:val="single"/>
          <w:insideH w:color="000001" w:space="0" w:sz="4" w:val="single"/>
          <w:right w:color="000001" w:space="0" w:sz="4" w:val="single"/>
          <w:insideV w:color="000001" w:space="0" w:sz="4" w:val="single"/>
        </w:tblBorders>
        <w:tblCellMar>
          <w:top w:type="dxa" w:w="0"/>
          <w:left w:type="dxa" w:w="73"/>
          <w:bottom w:type="dxa" w:w="0"/>
          <w:right w:type="dxa" w:w="108"/>
        </w:tblCellMar>
      </w:tblPr>
      <w:tblGrid>
        <w:gridCol w:w="702"/>
        <w:gridCol w:w="3686"/>
        <w:gridCol w:w="1133"/>
        <w:gridCol w:w="1131"/>
        <w:gridCol w:w="1570"/>
      </w:tblGrid>
      <w:tr>
        <w:trPr>
          <w:cantSplit w:val="false"/>
        </w:trPr>
        <w:tc>
          <w:tcPr>
            <w:tcW w:type="dxa" w:w="702"/>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bCs/>
                <w:color w:val="000000"/>
                <w:szCs w:val="20"/>
              </w:rPr>
            </w:pPr>
            <w:r>
              <w:rPr>
                <w:rFonts w:cs="Arial"/>
                <w:b/>
                <w:bCs/>
                <w:color w:val="000000"/>
                <w:szCs w:val="20"/>
              </w:rPr>
              <w:t>ITEM</w:t>
            </w:r>
          </w:p>
          <w:p>
            <w:pPr>
              <w:pStyle w:val="style0"/>
              <w:widowControl w:val="false"/>
              <w:spacing w:line="276" w:lineRule="auto"/>
              <w:jc w:val="center"/>
              <w:rPr>
                <w:rFonts w:cs="Arial"/>
                <w:b/>
                <w:color w:val="000000"/>
                <w:szCs w:val="20"/>
              </w:rPr>
            </w:pPr>
            <w:r>
              <w:rPr>
                <w:rFonts w:cs="Arial"/>
                <w:b/>
                <w:color w:val="000000"/>
                <w:szCs w:val="20"/>
              </w:rPr>
            </w:r>
          </w:p>
        </w:tc>
        <w:tc>
          <w:tcPr>
            <w:tcW w:type="dxa" w:w="368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bCs/>
                <w:color w:val="000000"/>
                <w:szCs w:val="20"/>
              </w:rPr>
            </w:pPr>
            <w:r>
              <w:rPr>
                <w:rFonts w:cs="Arial"/>
                <w:b/>
                <w:bCs/>
                <w:color w:val="000000"/>
                <w:szCs w:val="20"/>
              </w:rPr>
              <w:t>ESPECIFICAÇÃO</w:t>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bCs/>
                <w:color w:val="000000"/>
                <w:szCs w:val="20"/>
              </w:rPr>
            </w:pPr>
            <w:r>
              <w:rPr>
                <w:rFonts w:cs="Arial"/>
                <w:b/>
                <w:bCs/>
                <w:color w:val="000000"/>
                <w:szCs w:val="20"/>
              </w:rPr>
              <w:t>CATSER/CATMAT</w:t>
            </w:r>
          </w:p>
        </w:tc>
        <w:tc>
          <w:tcPr>
            <w:tcW w:type="dxa" w:w="1131"/>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bCs/>
                <w:color w:val="000000"/>
                <w:szCs w:val="20"/>
              </w:rPr>
            </w:pPr>
            <w:r>
              <w:rPr>
                <w:rFonts w:cs="Arial"/>
                <w:b/>
                <w:bCs/>
                <w:color w:val="000000"/>
                <w:szCs w:val="20"/>
              </w:rPr>
              <w:t>UNIDADE DE MEDIDA</w:t>
            </w:r>
          </w:p>
        </w:tc>
        <w:tc>
          <w:tcPr>
            <w:tcW w:type="dxa" w:w="1570"/>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bCs/>
                <w:szCs w:val="20"/>
              </w:rPr>
            </w:pPr>
            <w:r>
              <w:rPr>
                <w:rFonts w:cs="Arial"/>
                <w:b/>
                <w:bCs/>
                <w:szCs w:val="20"/>
              </w:rPr>
              <w:t>QUANTIDADE</w:t>
            </w:r>
          </w:p>
        </w:tc>
      </w:tr>
      <w:tr>
        <w:trPr>
          <w:cantSplit w:val="false"/>
        </w:trPr>
        <w:tc>
          <w:tcPr>
            <w:tcW w:type="dxa" w:w="702"/>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b w:val="false"/>
                <w:bCs w:val="false"/>
                <w:color w:val="000000"/>
                <w:szCs w:val="20"/>
              </w:rPr>
            </w:pPr>
            <w:r>
              <w:rPr>
                <w:rFonts w:cs="Arial"/>
                <w:b w:val="false"/>
                <w:bCs w:val="false"/>
                <w:color w:val="000000"/>
                <w:szCs w:val="20"/>
              </w:rPr>
              <w:t>1</w:t>
            </w:r>
          </w:p>
        </w:tc>
        <w:tc>
          <w:tcPr>
            <w:tcW w:type="dxa" w:w="368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rStyle w:val="style44"/>
                <w:rFonts w:cs="Arial" w:eastAsia="Times New Roman"/>
                <w:b w:val="false"/>
                <w:bCs w:val="false"/>
                <w:color w:val="00000A"/>
                <w:sz w:val="20"/>
                <w:szCs w:val="20"/>
                <w:lang w:bidi="hi-IN" w:eastAsia="zh-CN" w:val="pt-BR"/>
              </w:rPr>
            </w:pPr>
            <w:r>
              <w:rPr>
                <w:rStyle w:val="style44"/>
                <w:rFonts w:cs="Arial" w:eastAsia="Times New Roman"/>
                <w:b/>
                <w:bCs/>
                <w:color w:val="00000A"/>
                <w:sz w:val="20"/>
                <w:szCs w:val="20"/>
                <w:lang w:bidi="hi-IN" w:eastAsia="zh-CN" w:val="pt-BR"/>
              </w:rPr>
              <w:t>Placa em aço inox</w:t>
            </w:r>
            <w:r>
              <w:rPr>
                <w:rStyle w:val="style44"/>
                <w:rFonts w:cs="Arial" w:eastAsia="Times New Roman"/>
                <w:b w:val="false"/>
                <w:bCs w:val="false"/>
                <w:color w:val="00000A"/>
                <w:sz w:val="20"/>
                <w:szCs w:val="20"/>
                <w:lang w:bidi="hi-IN" w:eastAsia="zh-CN" w:val="pt-BR"/>
              </w:rPr>
              <w:t xml:space="preserve"> AISI 304 gravada em baixo relevo pelo processo de fotocorrosão, logomarcas e fotos. Texto em cor preta, conforme modelo a ser encaminhado pela contratante. Placa de aço medindo 30 x 21 cm, aplicada em base de acrílico fumê de 8 mm de espessura medindo 33 x 24 cm e acondicionada em estojo de camurça preto, medindo 37 x 28 cm com abertura frontal, fecho em metal.</w:t>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449371</w:t>
            </w:r>
          </w:p>
        </w:tc>
        <w:tc>
          <w:tcPr>
            <w:tcW w:type="dxa" w:w="1131"/>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ascii="Calibri" w:cs="Arial" w:hAnsi="Calibri"/>
                <w:color w:val="000000"/>
                <w:sz w:val="22"/>
                <w:szCs w:val="22"/>
              </w:rPr>
            </w:pPr>
            <w:r>
              <w:rPr>
                <w:rFonts w:ascii="Calibri" w:cs="Arial" w:hAnsi="Calibri"/>
                <w:color w:val="000000"/>
                <w:sz w:val="22"/>
                <w:szCs w:val="22"/>
              </w:rPr>
              <w:t>Unidade</w:t>
            </w:r>
          </w:p>
        </w:tc>
        <w:tc>
          <w:tcPr>
            <w:tcW w:type="dxa" w:w="1570"/>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rFonts w:cs="Arial"/>
                <w:color w:val="000000"/>
                <w:szCs w:val="20"/>
              </w:rPr>
            </w:pPr>
            <w:r>
              <w:rPr>
                <w:rFonts w:cs="Arial"/>
                <w:color w:val="000000"/>
                <w:szCs w:val="20"/>
              </w:rPr>
              <w:t>2</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2</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pPr>
            <w:r>
              <w:rPr>
                <w:b/>
                <w:bCs/>
              </w:rPr>
              <w:t>Placa em aço inox</w:t>
            </w:r>
            <w:r>
              <w:rPr/>
              <w:t xml:space="preserve"> AISI 304 gravada em baixo relevo pelo processo de fotocorrosão, logomarcas e imagens.  Texto em cor preta, conforme modelo a ser encaminhado pela contratante. Placa de aço medindo 20 x 15 cm, aplicada em base de acrílico fumê de 8 mm de espessura medindo 23 x 18 cm e acondicionada em estojo de camurça preto, medindo 27 x 22 cm com abertura frontal, fecho em metal.</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456720</w:t>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1</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3</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b w:val="false"/>
                <w:bCs w:val="false"/>
              </w:rPr>
            </w:pPr>
            <w:r>
              <w:rPr>
                <w:b/>
                <w:bCs/>
              </w:rPr>
              <w:t xml:space="preserve">Plaqueta de aço em inox, </w:t>
            </w:r>
            <w:r>
              <w:rPr>
                <w:b w:val="false"/>
                <w:bCs w:val="false"/>
              </w:rPr>
              <w:t>medindo 18 x 3 cm p/ ser afixada no quadro de fotografia.</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b w:val="false"/>
                <w:bCs w:val="false"/>
              </w:rPr>
              <w:t>255771</w:t>
            </w:r>
            <w:r>
              <w:rPr/>
              <w:t xml:space="preserve"> </w:t>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01</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4</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b w:val="false"/>
                <w:bCs w:val="false"/>
                <w:sz w:val="20"/>
                <w:szCs w:val="20"/>
              </w:rPr>
            </w:pPr>
            <w:r>
              <w:rPr>
                <w:b/>
                <w:bCs/>
              </w:rPr>
              <w:t xml:space="preserve">Impressão de convites </w:t>
            </w:r>
            <w:r>
              <w:rPr>
                <w:b w:val="false"/>
                <w:bCs w:val="false"/>
                <w:sz w:val="20"/>
                <w:szCs w:val="20"/>
              </w:rPr>
              <w:t>em couchê fosco 230g/m2, medindo 20 x 28,5 cm, com aplicação de verniz nas logomarcas, conforme modelo e arte fornecida pelo CTEx.</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18724</w:t>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50</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5</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pPr>
            <w:r>
              <w:rPr>
                <w:b/>
                <w:bCs/>
              </w:rPr>
              <w:t xml:space="preserve">Confecção de etiquetas personalizadas </w:t>
            </w:r>
            <w:r>
              <w:rPr>
                <w:b w:val="false"/>
                <w:bCs w:val="false"/>
              </w:rPr>
              <w:t>com logomarca da OM</w:t>
            </w:r>
            <w:r>
              <w:rPr/>
              <w:t xml:space="preserve">, medindo 3x4. </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18961</w:t>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400</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6</w:t>
            </w:r>
          </w:p>
          <w:p>
            <w:pPr>
              <w:pStyle w:val="style0"/>
              <w:widowControl w:val="false"/>
              <w:spacing w:line="276" w:lineRule="auto"/>
              <w:jc w:val="center"/>
              <w:rPr/>
            </w:pPr>
            <w:r>
              <w:rPr/>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pPr>
            <w:r>
              <w:rPr>
                <w:b/>
                <w:bCs/>
              </w:rPr>
              <w:t>Rosas</w:t>
            </w:r>
            <w:r>
              <w:rPr/>
              <w:t xml:space="preserve"> mix de cores. </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70</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7</w:t>
            </w:r>
          </w:p>
          <w:p>
            <w:pPr>
              <w:pStyle w:val="style0"/>
              <w:widowControl w:val="false"/>
              <w:spacing w:line="276" w:lineRule="auto"/>
              <w:jc w:val="center"/>
              <w:rPr/>
            </w:pPr>
            <w:r>
              <w:rPr/>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pPr>
            <w:r>
              <w:rPr>
                <w:b/>
                <w:bCs/>
              </w:rPr>
              <w:t>Moldura</w:t>
            </w:r>
            <w:r>
              <w:rPr/>
              <w:t xml:space="preserve"> com embalagem. </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01</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8</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288" w:lineRule="auto"/>
              <w:contextualSpacing w:val="false"/>
              <w:jc w:val="both"/>
              <w:rPr/>
            </w:pPr>
            <w:r>
              <w:rPr>
                <w:b/>
                <w:bCs/>
              </w:rPr>
              <w:t>Impressão de fotos,</w:t>
            </w:r>
            <w:r>
              <w:rPr/>
              <w:t xml:space="preserve"> medindo 24 x 30 cm.</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0</w:t>
            </w:r>
            <w:r>
              <w:rPr/>
              <w:t>8</w:t>
            </w:r>
          </w:p>
        </w:tc>
      </w:tr>
      <w:tr>
        <w:trPr>
          <w:cantSplit w:val="false"/>
        </w:trPr>
        <w:tc>
          <w:tcPr>
            <w:tcW w:type="dxa" w:w="702"/>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9</w:t>
            </w:r>
          </w:p>
        </w:tc>
        <w:tc>
          <w:tcPr>
            <w:tcW w:type="dxa" w:w="3686"/>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after="0" w:before="0" w:line="100" w:lineRule="atLeast"/>
              <w:contextualSpacing w:val="false"/>
              <w:jc w:val="left"/>
              <w:rPr>
                <w:rFonts w:ascii="Arial" w:cs="Times New Roman" w:hAnsi="Arial"/>
                <w:color w:val="000000"/>
                <w:sz w:val="20"/>
                <w:szCs w:val="20"/>
              </w:rPr>
            </w:pPr>
            <w:r>
              <w:rPr>
                <w:rFonts w:ascii="Arial" w:cs="Times New Roman" w:hAnsi="Arial"/>
                <w:b/>
                <w:bCs/>
                <w:color w:val="000000"/>
                <w:sz w:val="20"/>
                <w:szCs w:val="20"/>
              </w:rPr>
              <w:t>Caixa de madeira</w:t>
            </w:r>
            <w:r>
              <w:rPr>
                <w:rFonts w:ascii="Arial" w:cs="Times New Roman" w:hAnsi="Arial"/>
                <w:color w:val="000000"/>
                <w:sz w:val="20"/>
                <w:szCs w:val="20"/>
              </w:rPr>
              <w:t xml:space="preserve"> medindo 38 x 40 x 5 cm, envernizada com tampa de vidro.</w:t>
            </w:r>
          </w:p>
        </w:tc>
        <w:tc>
          <w:tcPr>
            <w:tcW w:type="dxa" w:w="1133"/>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r>
          </w:p>
        </w:tc>
        <w:tc>
          <w:tcPr>
            <w:tcW w:type="dxa" w:w="1131"/>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Unidade</w:t>
            </w:r>
          </w:p>
        </w:tc>
        <w:tc>
          <w:tcPr>
            <w:tcW w:type="dxa" w:w="1570"/>
            <w:tcBorders>
              <w:top w:val="nil"/>
              <w:left w:color="000001" w:space="0" w:sz="4" w:val="single"/>
              <w:bottom w:color="000001" w:space="0" w:sz="4" w:val="single"/>
              <w:right w:color="000001" w:space="0" w:sz="4" w:val="single"/>
            </w:tcBorders>
            <w:shd w:fill="FFFFFF" w:val="clear"/>
            <w:tcMar>
              <w:left w:type="dxa" w:w="73"/>
            </w:tcMar>
          </w:tcPr>
          <w:p>
            <w:pPr>
              <w:pStyle w:val="style0"/>
              <w:widowControl w:val="false"/>
              <w:spacing w:line="276" w:lineRule="auto"/>
              <w:jc w:val="center"/>
              <w:rPr/>
            </w:pPr>
            <w:r>
              <w:rPr/>
              <w:t>01</w:t>
            </w:r>
          </w:p>
        </w:tc>
      </w:tr>
    </w:tbl>
    <w:p>
      <w:pPr>
        <w:pStyle w:val="style120"/>
        <w:keepNext/>
        <w:widowControl/>
        <w:shd w:fill="FFFFFF" w:val="clear"/>
        <w:spacing w:after="120" w:before="120"/>
        <w:contextualSpacing w:val="false"/>
        <w:rPr>
          <w:rFonts w:ascii="Arial" w:cs="Arial" w:hAnsi="Arial"/>
          <w:szCs w:val="20"/>
        </w:rPr>
      </w:pPr>
      <w:r>
        <w:rPr>
          <w:rFonts w:ascii="Arial" w:cs="Arial" w:hAnsi="Arial"/>
          <w:szCs w:val="20"/>
        </w:rPr>
      </w:r>
    </w:p>
    <w:p>
      <w:pPr>
        <w:pStyle w:val="style120"/>
        <w:keepNext/>
        <w:widowControl/>
        <w:numPr>
          <w:ilvl w:val="2"/>
          <w:numId w:val="1"/>
        </w:numPr>
        <w:shd w:fill="FFFFFF" w:val="clear"/>
        <w:spacing w:after="120" w:before="120"/>
        <w:contextualSpacing w:val="false"/>
        <w:rPr>
          <w:rFonts w:ascii="Arial" w:cs="Arial" w:hAnsi="Arial"/>
          <w:szCs w:val="20"/>
        </w:rPr>
      </w:pPr>
      <w:r>
        <w:rPr>
          <w:rFonts w:ascii="Arial" w:cs="Arial" w:hAnsi="Arial"/>
          <w:szCs w:val="20"/>
        </w:rPr>
        <w:t>Havendo mais de um item, faculta-se ao fornecedor a participação em quantos forem de seu interesse.</w:t>
      </w:r>
    </w:p>
    <w:p>
      <w:pPr>
        <w:pStyle w:val="style120"/>
        <w:keepNext/>
        <w:widowControl/>
        <w:numPr>
          <w:ilvl w:val="1"/>
          <w:numId w:val="1"/>
        </w:numPr>
        <w:shd w:fill="FFFFFF" w:val="clear"/>
        <w:spacing w:after="120" w:before="120"/>
        <w:contextualSpacing w:val="false"/>
        <w:rPr>
          <w:rFonts w:ascii="Arial" w:cs="Arial" w:hAnsi="Arial"/>
          <w:szCs w:val="20"/>
        </w:rPr>
      </w:pPr>
      <w:r>
        <w:rPr>
          <w:rFonts w:ascii="Arial" w:cs="Arial" w:hAnsi="Arial"/>
          <w:szCs w:val="20"/>
        </w:rPr>
        <w:t>O critério de julgamento adotado será o</w:t>
      </w:r>
      <w:r>
        <w:rPr>
          <w:rFonts w:ascii="Arial" w:cs="Arial" w:hAnsi="Arial"/>
          <w:i/>
          <w:iCs/>
          <w:szCs w:val="20"/>
        </w:rPr>
        <w:t xml:space="preserve"> </w:t>
      </w:r>
      <w:r>
        <w:rPr>
          <w:rFonts w:ascii="Arial" w:cs="Arial" w:hAnsi="Arial"/>
          <w:szCs w:val="20"/>
        </w:rPr>
        <w:t>menor preço, observadas as exigências contidas neste Aviso de Contratação Direta e seus Anexos quanto às especificações do objeto.</w:t>
      </w:r>
    </w:p>
    <w:p>
      <w:pPr>
        <w:pStyle w:val="style0"/>
        <w:suppressAutoHyphens w:val="false"/>
        <w:spacing w:after="160" w:before="0" w:line="252" w:lineRule="auto"/>
        <w:contextualSpacing w:val="false"/>
        <w:rPr>
          <w:rFonts w:cs="Arial" w:eastAsia="WenQuanYi Micro Hei"/>
          <w:b/>
          <w:lang w:bidi="hi-IN" w:eastAsia="zh-CN"/>
        </w:rPr>
      </w:pPr>
      <w:r>
        <w:rPr>
          <w:rFonts w:cs="Arial" w:eastAsia="WenQuanYi Micro Hei"/>
          <w:b/>
          <w:lang w:bidi="hi-IN" w:eastAsia="zh-CN"/>
        </w:rPr>
      </w:r>
    </w:p>
    <w:p>
      <w:pPr>
        <w:pStyle w:val="style1"/>
        <w:pageBreakBefore/>
        <w:numPr>
          <w:ilvl w:val="0"/>
          <w:numId w:val="1"/>
        </w:numPr>
        <w:rPr/>
      </w:pPr>
      <w:bookmarkStart w:id="3" w:name="__RefHeading__1201_195451382"/>
      <w:bookmarkStart w:id="4" w:name="_Toc118380900"/>
      <w:bookmarkEnd w:id="3"/>
      <w:bookmarkEnd w:id="4"/>
      <w:r>
        <w:rPr/>
        <w:t>PARTICIPAÇÃO NA DISPENSA ELETRÔNICA.</w:t>
      </w:r>
    </w:p>
    <w:p>
      <w:pPr>
        <w:pStyle w:val="style0"/>
        <w:numPr>
          <w:ilvl w:val="1"/>
          <w:numId w:val="1"/>
        </w:numPr>
        <w:spacing w:after="120" w:before="120" w:line="276" w:lineRule="auto"/>
        <w:ind w:hanging="432" w:left="858" w:right="0"/>
        <w:contextualSpacing w:val="false"/>
        <w:jc w:val="both"/>
        <w:rPr>
          <w:rFonts w:cs="Arial"/>
          <w:szCs w:val="20"/>
        </w:rPr>
      </w:pPr>
      <w:r>
        <w:rPr>
          <w:rFonts w:cs="Arial"/>
          <w:szCs w:val="20"/>
        </w:rPr>
        <w:t xml:space="preserve">A </w:t>
      </w:r>
      <w:r>
        <w:rPr>
          <w:rFonts w:cs="Arial"/>
          <w:color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8">
        <w:r>
          <w:rPr>
            <w:rStyle w:val="style24"/>
            <w:rFonts w:cs="Arial"/>
            <w:bCs/>
            <w:szCs w:val="20"/>
          </w:rPr>
          <w:t>www.gov.br/compras</w:t>
        </w:r>
      </w:hyperlink>
      <w:r>
        <w:rPr>
          <w:rFonts w:cs="Arial"/>
          <w:bCs/>
          <w:szCs w:val="20"/>
        </w:rPr>
        <w:t>.</w:t>
      </w:r>
      <w:r>
        <w:rPr>
          <w:rFonts w:cs="Arial"/>
          <w:szCs w:val="20"/>
        </w:rPr>
        <w:t xml:space="preserve"> </w:t>
      </w:r>
    </w:p>
    <w:p>
      <w:pPr>
        <w:pStyle w:val="style0"/>
        <w:numPr>
          <w:ilvl w:val="2"/>
          <w:numId w:val="1"/>
        </w:numPr>
        <w:spacing w:after="120" w:before="120" w:line="276" w:lineRule="auto"/>
        <w:contextualSpacing w:val="false"/>
        <w:jc w:val="both"/>
        <w:rPr>
          <w:rFonts w:cs="Arial"/>
          <w:szCs w:val="20"/>
        </w:rPr>
      </w:pPr>
      <w:r>
        <w:rPr>
          <w:rFonts w:cs="Arial"/>
          <w:szCs w:val="20"/>
        </w:rPr>
        <w:t xml:space="preserve">O procedimento será divulgado no Compras.gov.br e no </w:t>
      </w:r>
      <w:hyperlink r:id="rId9">
        <w:r>
          <w:rPr>
            <w:rStyle w:val="style24"/>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style0"/>
        <w:numPr>
          <w:ilvl w:val="2"/>
          <w:numId w:val="1"/>
        </w:numPr>
        <w:spacing w:after="120" w:before="120" w:line="276" w:lineRule="auto"/>
        <w:contextualSpacing w:val="false"/>
        <w:jc w:val="both"/>
        <w:rPr>
          <w:rStyle w:val="style24"/>
          <w:rFonts w:cs="Arial"/>
          <w:szCs w:val="20"/>
        </w:rPr>
      </w:pPr>
      <w:r>
        <w:rPr>
          <w:rFonts w:cs="Arial"/>
          <w:szCs w:val="20"/>
        </w:rPr>
        <w:t xml:space="preserve">O Compras.gov.br poderá ser acessado pela web ou pelo </w:t>
      </w:r>
      <w:hyperlink r:id="rId10">
        <w:r>
          <w:rPr>
            <w:rStyle w:val="style24"/>
            <w:rFonts w:cs="Arial"/>
            <w:szCs w:val="20"/>
          </w:rPr>
          <w:t>aplicativo Compras.gov.br.</w:t>
        </w:r>
      </w:hyperlink>
    </w:p>
    <w:p>
      <w:pPr>
        <w:pStyle w:val="style0"/>
        <w:numPr>
          <w:ilvl w:val="2"/>
          <w:numId w:val="1"/>
        </w:numPr>
        <w:spacing w:after="120" w:before="120" w:line="276" w:lineRule="auto"/>
        <w:contextualSpacing w:val="false"/>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Não poderão participar desta dispensa de licitação os fornecedores: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que não atendam às condições deste Aviso de Contratação Direta e seu(s) anexo(s);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estrangeiros que não tenham representação legal no Brasil com poderes expressos para receber citação e responder administrativa ou judicialmente;</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que se enquadrem nas seguintes vedações:</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empresas controladoras, controladas ou coligadas, nos termos da </w:t>
      </w:r>
      <w:hyperlink r:id="rId11">
        <w:r>
          <w:rPr>
            <w:rStyle w:val="style24"/>
            <w:rFonts w:cs="Arial" w:eastAsia="Calibri"/>
            <w:szCs w:val="20"/>
          </w:rPr>
          <w:t>Lei nº 6.404, de 15 de dezembro de 1976</w:t>
        </w:r>
      </w:hyperlink>
      <w:r>
        <w:rPr>
          <w:rFonts w:cs="Arial"/>
          <w:color w:val="000000"/>
          <w:szCs w:val="20"/>
        </w:rPr>
        <w:t>, concorrendo entre si;</w:t>
      </w:r>
    </w:p>
    <w:p>
      <w:pPr>
        <w:pStyle w:val="style0"/>
        <w:numPr>
          <w:ilvl w:val="3"/>
          <w:numId w:val="3"/>
        </w:numPr>
        <w:spacing w:after="120" w:before="120" w:line="276" w:lineRule="auto"/>
        <w:contextualSpacing w:val="false"/>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style0"/>
        <w:numPr>
          <w:ilvl w:val="3"/>
          <w:numId w:val="1"/>
        </w:numPr>
        <w:spacing w:after="120" w:before="120" w:line="276" w:lineRule="auto"/>
        <w:contextualSpacing w:val="false"/>
        <w:jc w:val="both"/>
        <w:rPr>
          <w:rFonts w:cs="Arial"/>
          <w:color w:val="000000"/>
          <w:szCs w:val="20"/>
        </w:rPr>
      </w:pPr>
      <w:r>
        <w:rPr>
          <w:rFonts w:cs="Arial"/>
          <w:color w:val="000000"/>
          <w:szCs w:val="20"/>
        </w:rPr>
        <w:t>Equiparam-se aos autores do projeto as empresas integrantes do mesmo grupo econômico;</w:t>
      </w:r>
    </w:p>
    <w:p>
      <w:pPr>
        <w:pStyle w:val="style0"/>
        <w:numPr>
          <w:ilvl w:val="3"/>
          <w:numId w:val="1"/>
        </w:numPr>
        <w:spacing w:after="120" w:before="120" w:line="276" w:lineRule="auto"/>
        <w:contextualSpacing w:val="false"/>
        <w:jc w:val="both"/>
        <w:rPr>
          <w:rFonts w:cs="Arial"/>
          <w:color w:val="000000"/>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organizações da Sociedade Civil de Interesse Público - OSCIP, atuando nessa condição (Acórdão nº 746/2014-TCU-Plenário); e</w:t>
      </w:r>
    </w:p>
    <w:p>
      <w:pPr>
        <w:pStyle w:val="style0"/>
        <w:numPr>
          <w:ilvl w:val="1"/>
          <w:numId w:val="1"/>
        </w:numPr>
        <w:spacing w:after="120" w:before="120" w:line="276" w:lineRule="auto"/>
        <w:contextualSpacing w:val="false"/>
        <w:jc w:val="both"/>
        <w:rPr>
          <w:rFonts w:cs="Arial"/>
          <w:i w:val="false"/>
          <w:iCs w:val="false"/>
          <w:szCs w:val="20"/>
        </w:rPr>
      </w:pPr>
      <w:commentRangeStart w:id="5"/>
      <w:r>
        <w:rPr>
          <w:rFonts w:cs="Arial"/>
          <w:i w:val="false"/>
          <w:iCs w:val="false"/>
          <w:szCs w:val="20"/>
        </w:rPr>
        <w:t xml:space="preserve">Será permitida a participação de cooperativas, desde que apresentem demonstrativo de atuação em regime cooperado, com repartição de receitas e despesas entre os cooperados e atendam ao </w:t>
      </w:r>
      <w:r>
        <w:fldChar w:fldCharType="begin"/>
      </w:r>
      <w:r>
        <w:instrText> HYPERLINK "http://www.planalto.gov.br/ccivil_03/_ato2019-2022/2021/lei/L14133.htm" \l "art16"</w:instrText>
      </w:r>
      <w:r>
        <w:fldChar w:fldCharType="separate"/>
      </w:r>
      <w:r>
        <w:rPr>
          <w:rStyle w:val="style24"/>
          <w:rFonts w:cs="Arial"/>
          <w:i w:val="false"/>
          <w:iCs w:val="false"/>
          <w:color w:val="00000A"/>
          <w:szCs w:val="20"/>
        </w:rPr>
        <w:t>art. 16 da Lei nº 14.133, de 2021</w:t>
      </w:r>
      <w:r>
        <w:fldChar w:fldCharType="end"/>
      </w:r>
      <w:r>
        <w:rPr>
          <w:rFonts w:cs="Arial"/>
          <w:i w:val="false"/>
          <w:iCs w:val="false"/>
          <w:szCs w:val="20"/>
        </w:rPr>
        <w:t>.</w:t>
      </w:r>
    </w:p>
    <w:p>
      <w:pPr>
        <w:pStyle w:val="style0"/>
        <w:numPr>
          <w:ilvl w:val="2"/>
          <w:numId w:val="1"/>
        </w:numPr>
        <w:spacing w:after="120" w:before="120" w:line="276" w:lineRule="auto"/>
        <w:contextualSpacing w:val="false"/>
        <w:jc w:val="both"/>
        <w:rPr>
          <w:rFonts w:cs="Arial"/>
          <w:i w:val="false"/>
          <w:iCs w:val="false"/>
          <w:szCs w:val="20"/>
        </w:rPr>
      </w:pPr>
      <w:r>
        <w:rPr>
          <w:rFonts w:cs="Arial"/>
          <w:i w:val="false"/>
          <w:iCs w:val="false"/>
          <w:szCs w:val="20"/>
        </w:rPr>
        <w:t xml:space="preserve">Em sendo permitida a participação de cooperativas, serão estendidas a elas os benefícios previstos para as microempresas e empresas de pequeno porte quando elas atenderem ao disposto </w:t>
      </w:r>
      <w:r>
        <w:fldChar w:fldCharType="begin"/>
      </w:r>
      <w:r>
        <w:instrText> HYPERLINK "https://www.planalto.gov.br/ccivil_03/_ato2007-2010/2007/lei/l11488.htm" \l "art34"</w:instrText>
      </w:r>
      <w:r>
        <w:fldChar w:fldCharType="separate"/>
      </w:r>
      <w:r>
        <w:rPr>
          <w:rStyle w:val="style24"/>
          <w:rFonts w:cs="Arial"/>
          <w:i w:val="false"/>
          <w:iCs w:val="false"/>
          <w:color w:val="00000A"/>
          <w:szCs w:val="20"/>
        </w:rPr>
        <w:t>no art. 34 da Lei n.º 11.488, de 15 de junho de 2007</w:t>
      </w:r>
      <w:r>
        <w:fldChar w:fldCharType="end"/>
      </w:r>
      <w:r>
        <w:rPr>
          <w:rFonts w:cs="Arial"/>
          <w:i w:val="false"/>
          <w:iCs w:val="false"/>
          <w:szCs w:val="20"/>
        </w:rPr>
        <w:t>.</w:t>
      </w:r>
      <w:commentRangeEnd w:id="5"/>
      <w:r>
        <w:rPr>
          <w:rFonts w:cs="Arial"/>
          <w:i w:val="false"/>
          <w:iCs w:val="false"/>
          <w:szCs w:val="20"/>
        </w:rPr>
      </w:r>
      <w:r>
        <w:rPr>
          <w:rFonts w:cs="Arial"/>
          <w:i w:val="false"/>
          <w:iCs w:val="false"/>
          <w:szCs w:val="20"/>
        </w:rPr>
        <w:commentReference w:id="5"/>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HYPERLINK "http://www.planalto.gov.br/ccivil_03/_ato2019-2022/2021/lei/L14133.htm" \l "art9§1"</w:instrText>
      </w:r>
      <w:r>
        <w:fldChar w:fldCharType="separate"/>
      </w:r>
      <w:r>
        <w:rPr>
          <w:rStyle w:val="style24"/>
          <w:rFonts w:cs="Arial"/>
          <w:bCs/>
        </w:rPr>
        <w:t>§ 1º do art. 9º da Lei n.º 14.133, de 2021</w:t>
      </w:r>
      <w:r>
        <w:fldChar w:fldCharType="end"/>
      </w:r>
      <w:r>
        <w:rPr>
          <w:rFonts w:cs="Arial"/>
          <w:bCs/>
        </w:rPr>
        <w:t>.</w:t>
      </w:r>
    </w:p>
    <w:p>
      <w:pPr>
        <w:pStyle w:val="style0"/>
        <w:spacing w:after="120" w:before="120" w:line="276" w:lineRule="auto"/>
        <w:ind w:hanging="0" w:left="425" w:right="0"/>
        <w:contextualSpacing w:val="false"/>
        <w:jc w:val="both"/>
        <w:rPr>
          <w:rFonts w:cs="Arial"/>
          <w:bCs/>
        </w:rPr>
      </w:pPr>
      <w:r>
        <w:rPr>
          <w:rFonts w:cs="Arial"/>
          <w:bCs/>
        </w:rPr>
      </w:r>
    </w:p>
    <w:p>
      <w:pPr>
        <w:pStyle w:val="style1"/>
        <w:numPr>
          <w:ilvl w:val="0"/>
          <w:numId w:val="1"/>
        </w:numPr>
        <w:rPr/>
      </w:pPr>
      <w:bookmarkStart w:id="5" w:name="__RefHeading__1203_195451382"/>
      <w:bookmarkStart w:id="6" w:name="_Toc118380901"/>
      <w:bookmarkEnd w:id="5"/>
      <w:bookmarkEnd w:id="6"/>
      <w:r>
        <w:rPr/>
        <w:t>INGRESSO NA DISPENSA ELETRÔNICA E CADASTRAMENTO DA PROPOSTA INICIAL</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O ingresso do fornecedor na disputa da dispensa eletrônica ocorrerá com o cadastramento de sua proposta inicial, na forma deste item.</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style0"/>
        <w:numPr>
          <w:ilvl w:val="1"/>
          <w:numId w:val="1"/>
        </w:numPr>
        <w:spacing w:after="120" w:before="120" w:line="276" w:lineRule="auto"/>
        <w:ind w:hanging="432" w:left="858" w:right="0"/>
        <w:contextualSpacing w:val="false"/>
        <w:jc w:val="both"/>
        <w:rPr>
          <w:rFonts w:cs="Arial"/>
          <w:szCs w:val="20"/>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ou o desconto ofertado, vinculam a Contratada.</w:t>
      </w:r>
    </w:p>
    <w:p>
      <w:pPr>
        <w:pStyle w:val="style0"/>
        <w:numPr>
          <w:ilvl w:val="1"/>
          <w:numId w:val="1"/>
        </w:numPr>
        <w:spacing w:after="120" w:before="120" w:line="276" w:lineRule="auto"/>
        <w:ind w:hanging="432" w:left="858" w:right="0"/>
        <w:contextualSpacing w:val="false"/>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style0"/>
        <w:numPr>
          <w:ilvl w:val="2"/>
          <w:numId w:val="1"/>
        </w:numPr>
        <w:spacing w:after="120" w:before="120" w:line="276" w:lineRule="auto"/>
        <w:contextualSpacing w:val="false"/>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style0"/>
        <w:numPr>
          <w:ilvl w:val="2"/>
          <w:numId w:val="1"/>
        </w:numPr>
        <w:spacing w:after="120" w:before="120" w:line="276" w:lineRule="auto"/>
        <w:contextualSpacing w:val="false"/>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style0"/>
        <w:numPr>
          <w:ilvl w:val="1"/>
          <w:numId w:val="1"/>
        </w:numPr>
        <w:spacing w:after="120" w:before="120" w:line="276" w:lineRule="auto"/>
        <w:ind w:hanging="432" w:left="858" w:right="0"/>
        <w:contextualSpacing w:val="false"/>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style0"/>
        <w:numPr>
          <w:ilvl w:val="1"/>
          <w:numId w:val="1"/>
        </w:numPr>
        <w:spacing w:after="120" w:before="120" w:line="276" w:lineRule="auto"/>
        <w:ind w:hanging="432" w:left="858" w:right="0"/>
        <w:contextualSpacing w:val="false"/>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style0"/>
        <w:numPr>
          <w:ilvl w:val="1"/>
          <w:numId w:val="1"/>
        </w:numPr>
        <w:spacing w:after="120" w:before="120" w:line="276" w:lineRule="auto"/>
        <w:ind w:hanging="432" w:left="858" w:right="0"/>
        <w:contextualSpacing w:val="false"/>
        <w:jc w:val="both"/>
        <w:rPr>
          <w:rFonts w:cs="Arial"/>
          <w:szCs w:val="20"/>
        </w:rPr>
      </w:pPr>
      <w:commentRangeStart w:id="6"/>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w:t>
      </w:r>
      <w:r>
        <w:rPr>
          <w:rFonts w:cs="Arial"/>
          <w:i/>
          <w:color w:val="000000"/>
          <w:szCs w:val="20"/>
        </w:rPr>
        <w:t>a</w:t>
      </w:r>
      <w:r>
        <w:rPr>
          <w:rFonts w:cs="Arial"/>
          <w:szCs w:val="20"/>
        </w:rPr>
        <w:t>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6"/>
      <w:r>
        <w:rPr>
          <w:rFonts w:cs="Arial"/>
          <w:szCs w:val="20"/>
        </w:rPr>
      </w:r>
      <w:r>
        <w:rPr>
          <w:rFonts w:cs="Arial"/>
          <w:szCs w:val="20"/>
        </w:rPr>
        <w:commentReference w:id="6"/>
      </w:r>
    </w:p>
    <w:p>
      <w:pPr>
        <w:pStyle w:val="style0"/>
        <w:numPr>
          <w:ilvl w:val="1"/>
          <w:numId w:val="1"/>
        </w:numPr>
        <w:spacing w:after="120" w:before="120" w:line="276" w:lineRule="auto"/>
        <w:ind w:hanging="432" w:left="858" w:right="0"/>
        <w:contextualSpacing w:val="false"/>
        <w:jc w:val="both"/>
        <w:rPr>
          <w:rFonts w:cs="Arial" w:eastAsia="Zurich BT"/>
          <w:color w:val="000000"/>
          <w:szCs w:val="20"/>
        </w:rPr>
      </w:pPr>
      <w:r>
        <w:rPr>
          <w:rFonts w:cs="Arial"/>
          <w:color w:val="000000"/>
          <w:szCs w:val="20"/>
        </w:rPr>
        <w:t>No cadastramento da proposta inicial, o fornecedor deverá, também, assinalar Termo de Aceitação, em campo próprio do sistema eletrônico, relativo às seguintes declarações:</w:t>
      </w:r>
      <w:r>
        <w:rPr>
          <w:rFonts w:cs="Arial" w:eastAsia="Zurich BT"/>
          <w:color w:val="000000"/>
          <w:szCs w:val="20"/>
        </w:rPr>
        <w:t xml:space="preserve"> </w:t>
      </w:r>
    </w:p>
    <w:p>
      <w:pPr>
        <w:pStyle w:val="style121"/>
        <w:numPr>
          <w:ilvl w:val="0"/>
          <w:numId w:val="2"/>
        </w:numPr>
        <w:tabs>
          <w:tab w:leader="none" w:pos="1440" w:val="left"/>
        </w:tabs>
        <w:spacing w:after="120" w:before="120" w:line="276" w:lineRule="auto"/>
        <w:contextualSpacing/>
        <w:jc w:val="both"/>
        <w:rPr>
          <w:rFonts w:cs="Arial"/>
          <w:bCs/>
          <w:vanish/>
          <w:color w:val="000000"/>
          <w:szCs w:val="20"/>
        </w:rPr>
      </w:pPr>
      <w:r>
        <w:rPr>
          <w:rFonts w:cs="Arial"/>
          <w:bCs/>
          <w:vanish/>
          <w:color w:val="000000"/>
          <w:szCs w:val="20"/>
        </w:rPr>
      </w:r>
    </w:p>
    <w:p>
      <w:pPr>
        <w:pStyle w:val="style121"/>
        <w:numPr>
          <w:ilvl w:val="1"/>
          <w:numId w:val="2"/>
        </w:numPr>
        <w:tabs>
          <w:tab w:leader="none" w:pos="1440" w:val="left"/>
        </w:tabs>
        <w:spacing w:after="120" w:before="120" w:line="276" w:lineRule="auto"/>
        <w:contextualSpacing/>
        <w:jc w:val="both"/>
        <w:rPr>
          <w:rFonts w:cs="Arial"/>
          <w:bCs/>
          <w:vanish/>
          <w:color w:val="000000"/>
          <w:szCs w:val="20"/>
        </w:rPr>
      </w:pPr>
      <w:r>
        <w:rPr>
          <w:rFonts w:cs="Arial"/>
          <w:bCs/>
          <w:vanish/>
          <w:color w:val="000000"/>
          <w:szCs w:val="20"/>
        </w:rPr>
      </w:r>
    </w:p>
    <w:p>
      <w:pPr>
        <w:pStyle w:val="style121"/>
        <w:numPr>
          <w:ilvl w:val="1"/>
          <w:numId w:val="2"/>
        </w:numPr>
        <w:tabs>
          <w:tab w:leader="none" w:pos="1440" w:val="left"/>
        </w:tabs>
        <w:spacing w:after="120" w:before="120" w:line="276" w:lineRule="auto"/>
        <w:contextualSpacing/>
        <w:jc w:val="both"/>
        <w:rPr>
          <w:rFonts w:cs="Arial"/>
          <w:bCs/>
          <w:vanish/>
          <w:color w:val="000000"/>
          <w:szCs w:val="20"/>
        </w:rPr>
      </w:pPr>
      <w:r>
        <w:rPr>
          <w:rFonts w:cs="Arial"/>
          <w:bCs/>
          <w:vanish/>
          <w:color w:val="000000"/>
          <w:szCs w:val="20"/>
        </w:rPr>
      </w:r>
    </w:p>
    <w:p>
      <w:pPr>
        <w:pStyle w:val="style121"/>
        <w:numPr>
          <w:ilvl w:val="1"/>
          <w:numId w:val="2"/>
        </w:numPr>
        <w:tabs>
          <w:tab w:leader="none" w:pos="1440" w:val="left"/>
        </w:tabs>
        <w:spacing w:after="120" w:before="120" w:line="276" w:lineRule="auto"/>
        <w:contextualSpacing/>
        <w:jc w:val="both"/>
        <w:rPr>
          <w:rFonts w:cs="Arial"/>
          <w:bCs/>
          <w:vanish/>
          <w:color w:val="000000"/>
          <w:szCs w:val="20"/>
        </w:rPr>
      </w:pPr>
      <w:r>
        <w:rPr>
          <w:rFonts w:cs="Arial"/>
          <w:bCs/>
          <w:vanish/>
          <w:color w:val="000000"/>
          <w:szCs w:val="20"/>
        </w:rPr>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que está ciente e concorda com as condições contidas no Aviso de Contratação Direta e seus anexos;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que se responsabiliza pelas transações que forem efetuadas no sistema, assumindo-as como firmes e verdadeiras;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 xml:space="preserve">que cumpre as exigências de reserva de cargos para pessoa com deficiência e para reabilitado da Previdência Social, de que trata </w:t>
      </w:r>
      <w:r>
        <w:fldChar w:fldCharType="begin"/>
      </w:r>
      <w:r>
        <w:instrText> HYPERLINK "https://www.planalto.gov.br/ccivil_03/leis/l8213cons.htm" \l "art93"</w:instrText>
      </w:r>
      <w:r>
        <w:fldChar w:fldCharType="separate"/>
      </w:r>
      <w:r>
        <w:rPr>
          <w:rStyle w:val="style24"/>
          <w:rFonts w:cs="Arial"/>
          <w:szCs w:val="20"/>
        </w:rPr>
        <w:t>o art. 93 da Lei nº 8.213/91</w:t>
      </w:r>
      <w:r>
        <w:fldChar w:fldCharType="end"/>
      </w:r>
      <w:r>
        <w:rPr>
          <w:rFonts w:cs="Arial"/>
          <w:color w:val="000000"/>
          <w:szCs w:val="20"/>
        </w:rPr>
        <w:t>.</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 xml:space="preserve">que não emprega menor de 18 anos em trabalho noturno, perigoso ou insalubre e não emprega menor de 16 anos, salvo menor, a partir de 14 anos, na condição de aprendiz, nos termos do </w:t>
      </w:r>
      <w:r>
        <w:fldChar w:fldCharType="begin"/>
      </w:r>
      <w:r>
        <w:instrText> HYPERLINK "https://normas.leg.br/?urn=urn:lex:br:federal:constituicao:1988-10-05;1988" \l "art7"</w:instrText>
      </w:r>
      <w:r>
        <w:fldChar w:fldCharType="separate"/>
      </w:r>
      <w:r>
        <w:rPr>
          <w:rStyle w:val="style24"/>
          <w:rFonts w:cs="Arial"/>
          <w:szCs w:val="20"/>
        </w:rPr>
        <w:t>artigo 7°, XXXIII, da Constituição</w:t>
      </w:r>
      <w:r>
        <w:fldChar w:fldCharType="end"/>
      </w:r>
      <w:r>
        <w:rPr>
          <w:rFonts w:cs="Arial"/>
          <w:color w:val="000000"/>
          <w:szCs w:val="20"/>
        </w:rPr>
        <w:t>;</w:t>
      </w:r>
    </w:p>
    <w:p>
      <w:pPr>
        <w:pStyle w:val="style0"/>
        <w:numPr>
          <w:ilvl w:val="1"/>
          <w:numId w:val="1"/>
        </w:numPr>
        <w:spacing w:after="120" w:before="120" w:line="276" w:lineRule="auto"/>
        <w:contextualSpacing w:val="false"/>
        <w:jc w:val="both"/>
        <w:rPr>
          <w:rStyle w:val="style24"/>
          <w:rFonts w:cs="Arial"/>
          <w:szCs w:val="20"/>
        </w:rPr>
      </w:pPr>
      <w:r>
        <w:rPr>
          <w:rFonts w:cs="Arial"/>
          <w:color w:val="000000"/>
          <w:szCs w:val="20"/>
        </w:rPr>
        <w:t xml:space="preserve">O licitante organizado em cooperativa deverá declarar, ainda, em campo próprio do sistema eletrônico, que cumpre os requisitos estabelecidos no </w:t>
      </w:r>
      <w:r>
        <w:fldChar w:fldCharType="begin"/>
      </w:r>
      <w:r>
        <w:instrText> HYPERLINK "http://www.planalto.gov.br/ccivil_03/_ato2019-2022/2021/lei/L14133.htm" \l "art16"</w:instrText>
      </w:r>
      <w:r>
        <w:fldChar w:fldCharType="separate"/>
      </w:r>
      <w:r>
        <w:rPr>
          <w:rStyle w:val="style24"/>
          <w:rFonts w:cs="Arial"/>
          <w:szCs w:val="20"/>
        </w:rPr>
        <w:t>artigo 16 da Lei nº 14.133, de 2021.</w:t>
      </w:r>
      <w:r>
        <w:fldChar w:fldCharType="end"/>
      </w:r>
    </w:p>
    <w:p>
      <w:pPr>
        <w:pStyle w:val="style0"/>
        <w:numPr>
          <w:ilvl w:val="1"/>
          <w:numId w:val="1"/>
        </w:numPr>
        <w:spacing w:after="120" w:before="120" w:line="276" w:lineRule="auto"/>
        <w:contextualSpacing w:val="false"/>
        <w:jc w:val="both"/>
        <w:rPr>
          <w:rStyle w:val="style24"/>
          <w:rFonts w:cs="Arial"/>
          <w:color w:val="00000A"/>
          <w:szCs w:val="20"/>
        </w:rPr>
      </w:pPr>
      <w:commentRangeStart w:id="7"/>
      <w:r>
        <w:rPr>
          <w:rFonts w:cs="Arial"/>
          <w:color w:val="00000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instrText> HYPERLINK "https://www.planalto.gov.br/ccivil_03/leis/lcp/lcp123.htm" \l "art3"</w:instrText>
      </w:r>
      <w:r>
        <w:fldChar w:fldCharType="separate"/>
      </w:r>
      <w:r>
        <w:rPr>
          <w:rStyle w:val="style24"/>
          <w:rFonts w:cs="Arial"/>
          <w:szCs w:val="20"/>
        </w:rPr>
        <w:t>artigo 3° da Lei Complementar nº 123, de 2006</w:t>
      </w:r>
      <w:r>
        <w:fldChar w:fldCharType="end"/>
      </w:r>
      <w:r>
        <w:rPr>
          <w:rFonts w:cs="Arial"/>
          <w:color w:val="000000"/>
          <w:szCs w:val="20"/>
        </w:rPr>
        <w:t xml:space="preserve">, estando apto a usufruir do tratamento favorecido estabelecido em seus arts. 42 </w:t>
      </w:r>
      <w:r>
        <w:rPr>
          <w:rFonts w:cs="Arial"/>
          <w:szCs w:val="20"/>
        </w:rPr>
        <w:t xml:space="preserve">a 49, observado o disposto nos </w:t>
      </w:r>
      <w:r>
        <w:fldChar w:fldCharType="begin"/>
      </w:r>
      <w:r>
        <w:instrText> HYPERLINK "http://www.planalto.gov.br/ccivil_03/_ato2019-2022/2021/lei/L14133.htm" \l "art4§1"</w:instrText>
      </w:r>
      <w:r>
        <w:fldChar w:fldCharType="separate"/>
      </w:r>
      <w:r>
        <w:rPr>
          <w:rStyle w:val="style24"/>
          <w:rFonts w:cs="Arial"/>
          <w:color w:val="00000A"/>
          <w:szCs w:val="20"/>
        </w:rPr>
        <w:t>§§ 1º ao 3º do art. 4º, da Lei n.º 14.133, de 2021.</w:t>
      </w:r>
      <w:r>
        <w:fldChar w:fldCharType="end"/>
      </w:r>
      <w:commentRangeEnd w:id="7"/>
      <w:r>
        <w:rPr>
          <w:rStyle w:val="style24"/>
          <w:rFonts w:cs="Arial"/>
          <w:color w:val="00000A"/>
          <w:szCs w:val="20"/>
        </w:rPr>
      </w:r>
      <w:r>
        <w:rPr>
          <w:rStyle w:val="style24"/>
          <w:rFonts w:cs="Arial"/>
          <w:color w:val="00000A"/>
          <w:szCs w:val="20"/>
        </w:rPr>
        <w:commentReference w:id="7"/>
      </w:r>
    </w:p>
    <w:p>
      <w:pPr>
        <w:pStyle w:val="style0"/>
        <w:numPr>
          <w:ilvl w:val="1"/>
          <w:numId w:val="1"/>
        </w:numPr>
        <w:spacing w:after="120" w:before="120" w:line="276" w:lineRule="auto"/>
        <w:contextualSpacing w:val="false"/>
        <w:jc w:val="both"/>
        <w:rPr>
          <w:rFonts w:cs="Arial"/>
          <w:i/>
          <w:szCs w:val="20"/>
        </w:rPr>
      </w:pPr>
      <w:commentRangeStart w:id="8"/>
      <w:r>
        <w:rPr>
          <w:rFonts w:cs="Arial"/>
          <w:i/>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style0"/>
        <w:numPr>
          <w:ilvl w:val="2"/>
          <w:numId w:val="1"/>
        </w:numPr>
        <w:spacing w:after="120" w:before="120" w:line="276" w:lineRule="auto"/>
        <w:contextualSpacing w:val="false"/>
        <w:jc w:val="both"/>
        <w:rPr>
          <w:rFonts w:cs="Arial"/>
          <w:i w:val="false"/>
          <w:iCs w:val="false"/>
          <w:szCs w:val="20"/>
        </w:rPr>
      </w:pPr>
      <w:r>
        <w:rPr>
          <w:rFonts w:cs="Arial"/>
          <w:i w:val="false"/>
          <w:iCs w:val="false"/>
          <w:szCs w:val="20"/>
        </w:rPr>
        <w:t xml:space="preserve">Feita essa opção os lances serão enviados automaticamente pelo sistema, respeitados os limites cadastrados pelo fornecedor e o intervalo mínimo entre lances previsto neste aviso. </w:t>
      </w:r>
    </w:p>
    <w:p>
      <w:pPr>
        <w:pStyle w:val="style0"/>
        <w:numPr>
          <w:ilvl w:val="3"/>
          <w:numId w:val="1"/>
        </w:numPr>
        <w:spacing w:after="120" w:before="120" w:line="276" w:lineRule="auto"/>
        <w:contextualSpacing w:val="false"/>
        <w:jc w:val="both"/>
        <w:rPr>
          <w:rFonts w:cs="Arial"/>
          <w:i w:val="false"/>
          <w:iCs w:val="false"/>
          <w:szCs w:val="20"/>
        </w:rPr>
      </w:pPr>
      <w:r>
        <w:rPr>
          <w:rFonts w:cs="Arial"/>
          <w:i w:val="false"/>
          <w:iCs w:val="false"/>
          <w:szCs w:val="20"/>
        </w:rPr>
        <w:t>Sem prejuízo do disposto acima, os lances poderão ser enviados manualmente, na forma da seção respectiva deste Aviso de Contratação Direta;</w:t>
      </w:r>
    </w:p>
    <w:p>
      <w:pPr>
        <w:pStyle w:val="style0"/>
        <w:numPr>
          <w:ilvl w:val="2"/>
          <w:numId w:val="1"/>
        </w:numPr>
        <w:spacing w:after="120" w:before="120" w:line="276" w:lineRule="auto"/>
        <w:contextualSpacing w:val="false"/>
        <w:jc w:val="both"/>
        <w:rPr>
          <w:rFonts w:cs="Arial"/>
          <w:i w:val="false"/>
          <w:iCs w:val="false"/>
          <w:szCs w:val="20"/>
        </w:rPr>
      </w:pPr>
      <w:r>
        <w:rPr>
          <w:rFonts w:cs="Arial"/>
          <w:i w:val="false"/>
          <w:iCs w:val="false"/>
          <w:szCs w:val="20"/>
        </w:rPr>
        <w:t>O valor final mínimo poderá ser alterado pelo fornecedor durante a fase de disputa, desde que não assuma valor superior a lance já registrado por ele no sistema.</w:t>
      </w:r>
    </w:p>
    <w:p>
      <w:pPr>
        <w:pStyle w:val="style0"/>
        <w:numPr>
          <w:ilvl w:val="2"/>
          <w:numId w:val="1"/>
        </w:numPr>
        <w:spacing w:after="120" w:before="120" w:line="276" w:lineRule="auto"/>
        <w:contextualSpacing w:val="false"/>
        <w:jc w:val="both"/>
        <w:rPr>
          <w:rFonts w:cs="Arial"/>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8"/>
      <w:r>
        <w:rPr>
          <w:rFonts w:cs="Arial"/>
          <w:i/>
          <w:szCs w:val="20"/>
        </w:rPr>
      </w:r>
      <w:r>
        <w:rPr>
          <w:rFonts w:cs="Arial"/>
          <w:i/>
          <w:szCs w:val="20"/>
        </w:rPr>
        <w:commentReference w:id="8"/>
      </w:r>
    </w:p>
    <w:p>
      <w:pPr>
        <w:pStyle w:val="style1"/>
        <w:numPr>
          <w:ilvl w:val="0"/>
          <w:numId w:val="1"/>
        </w:numPr>
        <w:rPr/>
      </w:pPr>
      <w:bookmarkStart w:id="7" w:name="__RefHeading__1205_195451382"/>
      <w:bookmarkStart w:id="8" w:name="_Toc118380902"/>
      <w:bookmarkEnd w:id="7"/>
      <w:bookmarkEnd w:id="8"/>
      <w:r>
        <w:rPr/>
        <w:t>FASE DE LANCES</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pPr>
        <w:pStyle w:val="style121"/>
        <w:numPr>
          <w:ilvl w:val="1"/>
          <w:numId w:val="1"/>
        </w:numPr>
        <w:spacing w:after="120" w:before="120" w:line="276" w:lineRule="auto"/>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style121"/>
        <w:numPr>
          <w:ilvl w:val="2"/>
          <w:numId w:val="1"/>
        </w:numPr>
        <w:spacing w:after="120" w:before="120" w:line="276" w:lineRule="auto"/>
        <w:contextualSpacing/>
        <w:jc w:val="both"/>
        <w:rPr>
          <w:rFonts w:cs="Arial"/>
          <w:szCs w:val="20"/>
        </w:rPr>
      </w:pPr>
      <w:r>
        <w:rPr>
          <w:rFonts w:cs="Arial"/>
          <w:szCs w:val="20"/>
        </w:rPr>
        <w:t xml:space="preserve">O lance </w:t>
      </w:r>
      <w:r>
        <w:rPr>
          <w:rFonts w:cs="Arial"/>
          <w:color w:val="000000"/>
          <w:szCs w:val="20"/>
          <w:lang w:eastAsia="en-US"/>
        </w:rPr>
        <w:t>deverá</w:t>
      </w:r>
      <w:r>
        <w:rPr>
          <w:rFonts w:cs="Arial"/>
          <w:szCs w:val="20"/>
        </w:rPr>
        <w:t xml:space="preserve"> ser ofertado pelo valor unitário do item.</w:t>
      </w:r>
    </w:p>
    <w:p>
      <w:pPr>
        <w:pStyle w:val="style118"/>
        <w:numPr>
          <w:ilvl w:val="1"/>
          <w:numId w:val="1"/>
        </w:numPr>
        <w:shd w:fill="FFFFFF" w:val="clear"/>
        <w:spacing w:after="120" w:before="0" w:line="276" w:lineRule="auto"/>
        <w:contextualSpacing/>
        <w:rPr>
          <w:rFonts w:cs="Arial"/>
          <w:i w:val="false"/>
          <w:iCs w:val="false"/>
          <w:color w:val="000000"/>
          <w:szCs w:val="20"/>
        </w:rPr>
      </w:pPr>
      <w:r>
        <w:rPr>
          <w:rFonts w:cs="Arial"/>
          <w:i w:val="false"/>
          <w:iCs w:val="false"/>
          <w:color w:val="000000"/>
          <w:szCs w:val="20"/>
        </w:rPr>
        <w:t>O fornecedor somente poderá oferecer valor inferior ou maior percentual de desconto em relação ao último lance por ele ofertado e registrado pelo sistema.</w:t>
      </w:r>
    </w:p>
    <w:p>
      <w:pPr>
        <w:pStyle w:val="style121"/>
        <w:numPr>
          <w:ilvl w:val="2"/>
          <w:numId w:val="1"/>
        </w:numPr>
        <w:spacing w:after="120" w:before="120" w:line="276" w:lineRule="auto"/>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style121"/>
        <w:numPr>
          <w:ilvl w:val="2"/>
          <w:numId w:val="1"/>
        </w:numPr>
        <w:spacing w:after="120" w:before="120" w:line="276" w:lineRule="auto"/>
        <w:contextualSpacing/>
        <w:jc w:val="both"/>
        <w:rPr>
          <w:rFonts w:cs="Arial"/>
          <w:szCs w:val="20"/>
        </w:rPr>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ou do maior desconto registrado, vedada a identificação do fornecedor.</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style121"/>
        <w:numPr>
          <w:ilvl w:val="2"/>
          <w:numId w:val="1"/>
        </w:numPr>
        <w:spacing w:after="120" w:before="120" w:line="276" w:lineRule="auto"/>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style1"/>
        <w:numPr>
          <w:ilvl w:val="0"/>
          <w:numId w:val="1"/>
        </w:numPr>
        <w:rPr/>
      </w:pPr>
      <w:bookmarkStart w:id="9" w:name="__RefHeading__1207_195451382"/>
      <w:bookmarkStart w:id="10" w:name="_Toc118380903"/>
      <w:bookmarkEnd w:id="9"/>
      <w:bookmarkEnd w:id="10"/>
      <w:r>
        <w:rPr/>
        <w:t>JULGAMENTO DAS PROPOSTAS DE PREÇO</w:t>
      </w:r>
    </w:p>
    <w:p>
      <w:pPr>
        <w:pStyle w:val="style121"/>
        <w:numPr>
          <w:ilvl w:val="1"/>
          <w:numId w:val="1"/>
        </w:numPr>
        <w:spacing w:after="120" w:before="120" w:line="276" w:lineRule="auto"/>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style121"/>
        <w:numPr>
          <w:ilvl w:val="1"/>
          <w:numId w:val="1"/>
        </w:numPr>
        <w:spacing w:after="120" w:before="120" w:line="276" w:lineRule="auto"/>
        <w:contextualSpacing/>
        <w:jc w:val="both"/>
        <w:rPr>
          <w:rFonts w:cs="Arial"/>
        </w:rPr>
      </w:pPr>
      <w:r>
        <w:rPr>
          <w:rFonts w:cs="Arial"/>
        </w:rPr>
        <w:t>No caso de o preço da proposta do primeiro colocado estar acima do preço máximo definido para a contratação, poderá haver a negociação de condições mais vantajosas.</w:t>
      </w:r>
    </w:p>
    <w:p>
      <w:pPr>
        <w:pStyle w:val="style121"/>
        <w:numPr>
          <w:ilvl w:val="2"/>
          <w:numId w:val="1"/>
        </w:numPr>
        <w:spacing w:after="120" w:before="120" w:line="276" w:lineRule="auto"/>
        <w:contextualSpacing/>
        <w:jc w:val="both"/>
        <w:rPr>
          <w:rFonts w:cs="Arial"/>
          <w:color w:val="000000"/>
          <w:szCs w:val="20"/>
        </w:rPr>
      </w:pPr>
      <w:r>
        <w:rPr>
          <w:rFonts w:cs="Arial"/>
          <w:color w:val="000000"/>
          <w:szCs w:val="20"/>
        </w:rPr>
        <w:t>Neste caso, será encaminhada contraproposta ao fornecedor que tenha apresentado o melhor preço, para que seja obtida a melhor proposta com preço compatível ao estipulado pela Administração.</w:t>
      </w:r>
    </w:p>
    <w:p>
      <w:pPr>
        <w:pStyle w:val="style121"/>
        <w:numPr>
          <w:ilvl w:val="2"/>
          <w:numId w:val="1"/>
        </w:numPr>
        <w:spacing w:after="120" w:before="120" w:line="276" w:lineRule="auto"/>
        <w:contextualSpacing/>
        <w:jc w:val="both"/>
        <w:rPr>
          <w:rFonts w:cs="Arial"/>
        </w:rPr>
      </w:pPr>
      <w:r>
        <w:rPr>
          <w:rFonts w:cs="Arial"/>
        </w:rPr>
        <w:t xml:space="preserve">A negociação poderá ser feita com os demais fornecedores classificados, </w:t>
      </w:r>
      <w:r>
        <w:rPr>
          <w:rFonts w:ascii="Helvetica" w:hAnsi="Helvetica"/>
          <w:shd w:fill="FFFFFF" w:val="clear"/>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pPr>
        <w:pStyle w:val="style121"/>
        <w:numPr>
          <w:ilvl w:val="1"/>
          <w:numId w:val="1"/>
        </w:numPr>
        <w:spacing w:after="120" w:before="120" w:line="276" w:lineRule="auto"/>
        <w:contextualSpacing/>
        <w:jc w:val="both"/>
        <w:rPr>
          <w:rFonts w:ascii="Helvetica" w:hAnsi="Helvetica"/>
          <w:shd w:fill="FFFFFF" w:val="clear"/>
        </w:rPr>
      </w:pPr>
      <w:r>
        <w:rPr>
          <w:rFonts w:cs="Arial"/>
        </w:rPr>
        <w:t xml:space="preserve">Em qualquer caso, concluída a negociação, se houver, o resultado será registrado na ata do procedimento da dispensa eletrônica, </w:t>
      </w:r>
      <w:r>
        <w:rPr>
          <w:rFonts w:ascii="Helvetica" w:hAnsi="Helvetica"/>
          <w:shd w:fill="FFFFFF" w:val="clear"/>
        </w:rPr>
        <w:t>devendo esta ser anexada aos autos do processo de contratação.</w:t>
      </w:r>
    </w:p>
    <w:p>
      <w:pPr>
        <w:pStyle w:val="style121"/>
        <w:numPr>
          <w:ilvl w:val="1"/>
          <w:numId w:val="1"/>
        </w:numPr>
        <w:spacing w:after="120" w:before="120" w:line="276" w:lineRule="auto"/>
        <w:contextualSpacing/>
        <w:jc w:val="both"/>
        <w:rPr>
          <w:iCs/>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pPr>
        <w:pStyle w:val="style121"/>
        <w:numPr>
          <w:ilvl w:val="2"/>
          <w:numId w:val="1"/>
        </w:numPr>
        <w:spacing w:after="120" w:before="120" w:line="276" w:lineRule="auto"/>
        <w:contextualSpacing/>
        <w:jc w:val="both"/>
        <w:rPr>
          <w:rFonts w:cs="Arial"/>
          <w:i w:val="false"/>
          <w:iCs w:val="false"/>
          <w:color w:val="000000"/>
        </w:rPr>
      </w:pPr>
      <w:commentRangeStart w:id="9"/>
      <w:r>
        <w:rPr>
          <w:rFonts w:cs="Arial"/>
          <w:i w:val="false"/>
          <w:iCs w:val="false"/>
          <w:color w:val="000000"/>
        </w:rPr>
        <w:t>Além da documentação supracitada, o fornecedor com a melhor proposta deverá encaminhar planilha com indicação de custos unitários e formação de preços, conforme modelo anexo, com os valores adequados à proposta vencedora.</w:t>
      </w:r>
      <w:commentRangeEnd w:id="9"/>
      <w:r>
        <w:rPr>
          <w:rFonts w:cs="Arial"/>
          <w:i w:val="false"/>
          <w:iCs w:val="false"/>
          <w:color w:val="000000"/>
        </w:rPr>
      </w:r>
      <w:r>
        <w:rPr>
          <w:rFonts w:cs="Arial"/>
          <w:i w:val="false"/>
          <w:iCs w:val="false"/>
          <w:color w:val="000000"/>
        </w:rPr>
        <w:commentReference w:id="9"/>
      </w:r>
    </w:p>
    <w:p>
      <w:pPr>
        <w:pStyle w:val="style0"/>
        <w:numPr>
          <w:ilvl w:val="1"/>
          <w:numId w:val="1"/>
        </w:numPr>
        <w:spacing w:after="120" w:before="120" w:line="276" w:lineRule="auto"/>
        <w:contextualSpacing w:val="false"/>
        <w:jc w:val="both"/>
        <w:rPr>
          <w:rFonts w:cs="Arial"/>
          <w:color w:val="000000"/>
          <w:szCs w:val="20"/>
        </w:rPr>
      </w:pPr>
      <w:commentRangeStart w:id="10"/>
      <w:r>
        <w:rPr>
          <w:rFonts w:cs="Arial"/>
          <w:color w:val="000000"/>
          <w:szCs w:val="20"/>
        </w:rPr>
        <w:t xml:space="preserve">O prazo de validade </w:t>
      </w:r>
      <w:r>
        <w:rPr>
          <w:rFonts w:cs="Arial"/>
          <w:szCs w:val="20"/>
        </w:rPr>
        <w:t>da</w:t>
      </w:r>
      <w:r>
        <w:rPr>
          <w:rFonts w:cs="Arial"/>
          <w:color w:val="000000"/>
          <w:szCs w:val="20"/>
        </w:rPr>
        <w:t xml:space="preserve"> proposta não será inferior a 30 (trinta) dias</w:t>
      </w:r>
      <w:r>
        <w:rPr>
          <w:rFonts w:cs="Arial"/>
          <w:b/>
          <w:bCs/>
          <w:color w:val="000000"/>
          <w:szCs w:val="20"/>
        </w:rPr>
        <w:t>,</w:t>
      </w:r>
      <w:r>
        <w:rPr>
          <w:rFonts w:cs="Arial"/>
          <w:color w:val="000000"/>
          <w:szCs w:val="20"/>
        </w:rPr>
        <w:t xml:space="preserve"> a contar da data de sua apresentação.</w:t>
      </w:r>
      <w:commentRangeEnd w:id="10"/>
      <w:r>
        <w:rPr>
          <w:rFonts w:cs="Arial"/>
          <w:color w:val="000000"/>
          <w:szCs w:val="20"/>
        </w:rPr>
      </w:r>
      <w:r>
        <w:rPr>
          <w:rFonts w:cs="Arial"/>
          <w:color w:val="000000"/>
          <w:szCs w:val="20"/>
        </w:rPr>
        <w:commentReference w:id="10"/>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style121"/>
        <w:numPr>
          <w:ilvl w:val="2"/>
          <w:numId w:val="1"/>
        </w:numPr>
        <w:spacing w:after="120" w:before="120" w:line="276" w:lineRule="auto"/>
        <w:contextualSpacing/>
        <w:jc w:val="both"/>
        <w:rPr>
          <w:rFonts w:cs="Arial"/>
          <w:iCs/>
          <w:color w:val="000000"/>
          <w:szCs w:val="20"/>
        </w:rPr>
      </w:pPr>
      <w:r>
        <w:rPr>
          <w:rFonts w:cs="Arial"/>
          <w:color w:val="000000"/>
          <w:szCs w:val="20"/>
        </w:rPr>
        <w:t>contiver vícios insanáveis</w:t>
      </w:r>
      <w:r>
        <w:rPr>
          <w:rFonts w:cs="Arial"/>
          <w:iCs/>
          <w:color w:val="000000"/>
          <w:szCs w:val="20"/>
        </w:rPr>
        <w:t>;</w:t>
      </w:r>
    </w:p>
    <w:p>
      <w:pPr>
        <w:pStyle w:val="style121"/>
        <w:numPr>
          <w:ilvl w:val="2"/>
          <w:numId w:val="1"/>
        </w:numPr>
        <w:spacing w:after="120" w:before="120" w:line="276" w:lineRule="auto"/>
        <w:contextualSpacing/>
        <w:jc w:val="both"/>
        <w:rPr>
          <w:rFonts w:cs="Arial"/>
          <w:iCs/>
          <w:color w:val="000000"/>
          <w:szCs w:val="20"/>
        </w:rPr>
      </w:pPr>
      <w:r>
        <w:rPr>
          <w:rFonts w:cs="Arial"/>
          <w:color w:val="000000"/>
          <w:szCs w:val="20"/>
        </w:rPr>
        <w:t>não obedecer às especificações técnicas pormenorizadas neste aviso ou em seus anexos</w:t>
      </w:r>
      <w:r>
        <w:rPr>
          <w:rFonts w:cs="Arial"/>
          <w:iCs/>
          <w:color w:val="000000"/>
          <w:szCs w:val="20"/>
        </w:rPr>
        <w:t>;</w:t>
      </w:r>
    </w:p>
    <w:p>
      <w:pPr>
        <w:pStyle w:val="style121"/>
        <w:numPr>
          <w:ilvl w:val="2"/>
          <w:numId w:val="1"/>
        </w:numPr>
        <w:spacing w:after="120" w:before="120" w:line="276" w:lineRule="auto"/>
        <w:contextualSpacing/>
        <w:jc w:val="both"/>
        <w:rPr>
          <w:rFonts w:cs="Arial"/>
          <w:color w:val="FF0000"/>
          <w:szCs w:val="20"/>
        </w:rPr>
      </w:pPr>
      <w:r>
        <w:rPr>
          <w:rFonts w:cs="Arial"/>
          <w:szCs w:val="20"/>
        </w:rPr>
        <w:t>apresentar preços inexequíveis</w:t>
      </w:r>
      <w:r>
        <w:rPr>
          <w:rFonts w:cs="Arial"/>
          <w:color w:val="FF0000"/>
          <w:szCs w:val="20"/>
        </w:rPr>
        <w:t>.</w:t>
      </w:r>
    </w:p>
    <w:p>
      <w:pPr>
        <w:pStyle w:val="style121"/>
        <w:numPr>
          <w:ilvl w:val="2"/>
          <w:numId w:val="1"/>
        </w:numPr>
        <w:spacing w:after="120" w:before="120" w:line="276" w:lineRule="auto"/>
        <w:contextualSpacing/>
        <w:jc w:val="both"/>
        <w:rPr>
          <w:rFonts w:cs="Arial"/>
          <w:iCs/>
          <w:color w:val="000000"/>
          <w:szCs w:val="20"/>
        </w:rPr>
      </w:pPr>
      <w:r>
        <w:rPr>
          <w:rFonts w:cs="Arial"/>
          <w:color w:val="000000"/>
          <w:szCs w:val="20"/>
        </w:rPr>
        <w:t>não tiver sua exequibilidade demonstrada, quando exigido pela Administração</w:t>
      </w:r>
      <w:r>
        <w:rPr>
          <w:rFonts w:cs="Arial"/>
          <w:iCs/>
          <w:color w:val="000000"/>
          <w:szCs w:val="20"/>
        </w:rPr>
        <w:t>;</w:t>
      </w:r>
    </w:p>
    <w:p>
      <w:pPr>
        <w:pStyle w:val="style121"/>
        <w:numPr>
          <w:ilvl w:val="2"/>
          <w:numId w:val="1"/>
        </w:numPr>
        <w:spacing w:after="120" w:before="120" w:line="276" w:lineRule="auto"/>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style121"/>
        <w:numPr>
          <w:ilvl w:val="1"/>
          <w:numId w:val="1"/>
        </w:numPr>
        <w:spacing w:after="120" w:before="120" w:line="276" w:lineRule="auto"/>
        <w:contextualSpacing/>
        <w:jc w:val="both"/>
        <w:rPr>
          <w:rFonts w:cs="Arial"/>
          <w:szCs w:val="20"/>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style121"/>
        <w:numPr>
          <w:ilvl w:val="2"/>
          <w:numId w:val="1"/>
        </w:numPr>
        <w:spacing w:after="120" w:before="120" w:line="276" w:lineRule="auto"/>
        <w:contextualSpacing/>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style121"/>
        <w:numPr>
          <w:ilvl w:val="2"/>
          <w:numId w:val="1"/>
        </w:numPr>
        <w:spacing w:after="120" w:before="120" w:line="276" w:lineRule="auto"/>
        <w:contextualSpacing/>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style121"/>
        <w:numPr>
          <w:ilvl w:val="1"/>
          <w:numId w:val="1"/>
        </w:numPr>
        <w:spacing w:after="120" w:before="120" w:line="276" w:lineRule="auto"/>
        <w:ind w:hanging="432" w:left="858" w:right="-15"/>
        <w:contextualSpacing/>
        <w:jc w:val="both"/>
        <w:rPr>
          <w:rFonts w:cs="Arial"/>
          <w:i/>
          <w:color w:val="000000"/>
          <w:szCs w:val="20"/>
          <w:lang w:eastAsia="en-US"/>
        </w:rPr>
      </w:pPr>
      <w:r>
        <w:rPr>
          <w:rFonts w:cs="Arial"/>
          <w:i/>
          <w:color w:val="000000"/>
          <w:szCs w:val="20"/>
          <w:lang w:eastAsia="en-US"/>
        </w:rPr>
        <w:t>Em contratação de obras ou serviços de engenharia, além das disposições acima, o critério de aceitabilidade de preços considerará o seguinte:</w:t>
      </w:r>
    </w:p>
    <w:p>
      <w:pPr>
        <w:pStyle w:val="style121"/>
        <w:numPr>
          <w:ilvl w:val="2"/>
          <w:numId w:val="1"/>
        </w:numPr>
        <w:spacing w:after="120" w:before="120" w:line="276" w:lineRule="auto"/>
        <w:ind w:hanging="504" w:left="1224" w:right="-15"/>
        <w:contextualSpacing/>
        <w:jc w:val="both"/>
        <w:rPr>
          <w:rFonts w:cs="Arial"/>
          <w:i/>
          <w:color w:val="000000"/>
          <w:szCs w:val="20"/>
          <w:lang w:eastAsia="en-US"/>
        </w:rPr>
      </w:pPr>
      <w:commentRangeStart w:id="11"/>
      <w:r>
        <w:rPr>
          <w:rFonts w:cs="Arial"/>
          <w:i/>
          <w:color w:val="000000"/>
          <w:szCs w:val="20"/>
          <w:lang w:eastAsia="en-US"/>
        </w:rPr>
        <w:t>Ressalvado o objeto ou parte dele sujeito ao regime de empreitada por preço unitário, o critério de aceitabilidade de preços será o valor global estimado para a contratação.</w:t>
      </w:r>
    </w:p>
    <w:p>
      <w:pPr>
        <w:pStyle w:val="style121"/>
        <w:numPr>
          <w:ilvl w:val="3"/>
          <w:numId w:val="1"/>
        </w:numPr>
        <w:spacing w:after="120" w:before="120" w:line="276" w:lineRule="auto"/>
        <w:ind w:hanging="648" w:left="1728" w:right="-15"/>
        <w:contextualSpacing/>
        <w:jc w:val="both"/>
        <w:rPr>
          <w:rFonts w:cs="Arial"/>
          <w:i/>
          <w:color w:val="000000"/>
          <w:szCs w:val="20"/>
          <w:lang w:eastAsia="en-US"/>
        </w:rPr>
      </w:pPr>
      <w:r>
        <w:rPr>
          <w:rFonts w:cs="Arial"/>
          <w:i/>
          <w:color w:val="000000"/>
          <w:szCs w:val="20"/>
          <w:lang w:eastAsia="en-US"/>
        </w:rPr>
        <w:t>Aquele que estiver mais bem colocado na disputa, deverá apresentar à Administração, por meio eletrônico, planilha que contenha o preço global, os quantitativos e os preços unitários tidos como relevantes,</w:t>
      </w:r>
    </w:p>
    <w:p>
      <w:pPr>
        <w:pStyle w:val="style121"/>
        <w:spacing w:after="120" w:before="120" w:line="276" w:lineRule="auto"/>
        <w:ind w:hanging="648" w:left="1728" w:right="-15"/>
        <w:contextualSpacing/>
        <w:jc w:val="both"/>
        <w:rPr>
          <w:rFonts w:cs="Arial"/>
          <w:i/>
          <w:color w:val="000000"/>
          <w:szCs w:val="20"/>
          <w:lang w:eastAsia="en-US"/>
        </w:rPr>
      </w:pPr>
      <w:r>
        <w:rPr>
          <w:rFonts w:cs="Arial"/>
          <w:i/>
          <w:color w:val="000000"/>
          <w:szCs w:val="20"/>
          <w:lang w:eastAsia="en-US"/>
        </w:rPr>
        <w:t>5.8.1.2 Conforme modelo de planilha elaborada pela Administração, para efeito de avaliação de exequibilidade (</w:t>
      </w:r>
      <w:r>
        <w:fldChar w:fldCharType="begin"/>
      </w:r>
      <w:r>
        <w:instrText> HYPERLINK "http://www.planalto.gov.br/ccivil_03/_ato2019-2022/2021/lei/L14133.htm" \l "art59§3"</w:instrText>
      </w:r>
      <w:r>
        <w:fldChar w:fldCharType="separate"/>
      </w:r>
      <w:r>
        <w:rPr>
          <w:rStyle w:val="style24"/>
          <w:rFonts w:cs="Arial"/>
          <w:i/>
          <w:color w:val="000000"/>
          <w:szCs w:val="20"/>
          <w:lang w:eastAsia="en-US"/>
        </w:rPr>
        <w:t>art. 59, §3º, da Lei nº 14.133, de 2021</w:t>
      </w:r>
      <w:r>
        <w:fldChar w:fldCharType="end"/>
      </w:r>
      <w:r>
        <w:rPr>
          <w:rFonts w:cs="Arial"/>
          <w:i/>
          <w:color w:val="000000"/>
          <w:szCs w:val="20"/>
          <w:lang w:eastAsia="en-US"/>
        </w:rPr>
        <w:t>);</w:t>
      </w:r>
      <w:commentRangeEnd w:id="11"/>
      <w:r>
        <w:rPr>
          <w:rFonts w:cs="Arial"/>
          <w:i/>
          <w:color w:val="000000"/>
          <w:szCs w:val="20"/>
          <w:lang w:eastAsia="en-US"/>
        </w:rPr>
      </w:r>
      <w:r>
        <w:rPr>
          <w:rFonts w:cs="Arial"/>
          <w:i/>
          <w:color w:val="000000"/>
          <w:szCs w:val="20"/>
          <w:lang w:eastAsia="en-US"/>
        </w:rPr>
        <w:commentReference w:id="11"/>
      </w:r>
    </w:p>
    <w:p>
      <w:pPr>
        <w:pStyle w:val="style121"/>
        <w:spacing w:after="120" w:before="120" w:line="276" w:lineRule="auto"/>
        <w:ind w:hanging="0" w:left="1944" w:right="-15"/>
        <w:contextualSpacing/>
        <w:jc w:val="both"/>
        <w:rPr/>
      </w:pPr>
      <w:r>
        <w:rPr/>
        <w:commentReference w:id="12"/>
      </w:r>
    </w:p>
    <w:p>
      <w:pPr>
        <w:pStyle w:val="style121"/>
        <w:numPr>
          <w:ilvl w:val="1"/>
          <w:numId w:val="1"/>
        </w:numPr>
        <w:spacing w:after="120" w:before="120" w:line="276" w:lineRule="auto"/>
        <w:ind w:hanging="432" w:left="858" w:right="-15"/>
        <w:contextualSpacing/>
        <w:jc w:val="both"/>
        <w:rPr>
          <w:rFonts w:cs="Arial"/>
          <w:color w:val="000000"/>
          <w:szCs w:val="20"/>
          <w:lang w:eastAsia="en-US"/>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o fornecedor comprove a exequibilidade da proposta.  </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 xml:space="preserve">Erros no preenchimento da planilha não constituem motivo para a desclassificação da proposta. A planilha </w:t>
      </w:r>
      <w:r>
        <w:rPr>
          <w:rFonts w:cs="Arial"/>
          <w:szCs w:val="20"/>
        </w:rPr>
        <w:t>poderá́</w:t>
      </w:r>
      <w:r>
        <w:rPr>
          <w:rFonts w:cs="Arial"/>
          <w:color w:val="000000"/>
          <w:szCs w:val="20"/>
          <w:lang w:eastAsia="en-US"/>
        </w:rPr>
        <w:t xml:space="preserve"> ser ajustada pelo fornecedor, no prazo indicado pelo sistema, desde que não haja majoração do preço.</w:t>
      </w:r>
    </w:p>
    <w:p>
      <w:pPr>
        <w:pStyle w:val="style121"/>
        <w:numPr>
          <w:ilvl w:val="2"/>
          <w:numId w:val="1"/>
        </w:numPr>
        <w:spacing w:after="120" w:before="120" w:line="276" w:lineRule="auto"/>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style121"/>
        <w:numPr>
          <w:ilvl w:val="2"/>
          <w:numId w:val="1"/>
        </w:numPr>
        <w:spacing w:after="120" w:before="120" w:line="276" w:lineRule="auto"/>
        <w:contextualSpacing/>
        <w:jc w:val="both"/>
        <w:rPr>
          <w:rFonts w:cs="Arial"/>
          <w:color w:val="000000"/>
          <w:szCs w:val="20"/>
          <w:lang w:eastAsia="en-US"/>
        </w:rPr>
      </w:pPr>
      <w:r>
        <w:rPr>
          <w:rFonts w:cs="Arial"/>
          <w:color w:val="000000"/>
          <w:szCs w:val="20"/>
          <w:lang w:eastAsia="en-US"/>
        </w:rPr>
        <w:t>Considera-se erro no preenchimento da planilha passível de correção a indicação de recolhimento de impostos e contribuições na forma do Simples Nacional, quando não cabível esse regime.</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style121"/>
        <w:numPr>
          <w:ilvl w:val="1"/>
          <w:numId w:val="1"/>
        </w:numPr>
        <w:spacing w:after="120" w:before="120" w:line="276" w:lineRule="auto"/>
        <w:contextualSpacing/>
        <w:jc w:val="both"/>
        <w:rPr>
          <w:rFonts w:cs="Arial"/>
          <w:color w:val="000000"/>
          <w:szCs w:val="20"/>
          <w:lang w:eastAsia="en-US"/>
        </w:rPr>
      </w:pPr>
      <w:r>
        <w:rPr>
          <w:rFonts w:cs="Arial"/>
          <w:color w:val="000000"/>
          <w:szCs w:val="20"/>
          <w:lang w:eastAsia="en-US"/>
        </w:rPr>
        <w:t>Encerrada a análise quanto à aceitação da proposta, será iniciada a fase de habilitação, observado o disposto neste Aviso de Contratação Direta. </w:t>
      </w:r>
    </w:p>
    <w:p>
      <w:pPr>
        <w:pStyle w:val="style1"/>
        <w:numPr>
          <w:ilvl w:val="0"/>
          <w:numId w:val="1"/>
        </w:numPr>
        <w:rPr/>
      </w:pPr>
      <w:bookmarkStart w:id="11" w:name="__RefHeading__1209_195451382"/>
      <w:bookmarkStart w:id="12" w:name="_Toc118380904"/>
      <w:bookmarkEnd w:id="11"/>
      <w:bookmarkEnd w:id="12"/>
      <w:r>
        <w:rPr/>
        <w:t>HABILITAÇÃO</w:t>
      </w:r>
    </w:p>
    <w:p>
      <w:pPr>
        <w:pStyle w:val="style0"/>
        <w:numPr>
          <w:ilvl w:val="1"/>
          <w:numId w:val="1"/>
        </w:numPr>
        <w:spacing w:after="120" w:before="120" w:line="276" w:lineRule="auto"/>
        <w:contextualSpacing/>
        <w:jc w:val="both"/>
        <w:rPr>
          <w:rFonts w:cs="Arial"/>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pPr>
        <w:pStyle w:val="style0"/>
        <w:numPr>
          <w:ilvl w:val="1"/>
          <w:numId w:val="1"/>
        </w:numPr>
        <w:spacing w:after="120" w:before="120" w:line="276" w:lineRule="auto"/>
        <w:contextualSpacing/>
        <w:jc w:val="both"/>
        <w:rPr>
          <w:rFonts w:cs="Arial"/>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pPr>
        <w:pStyle w:val="style121"/>
        <w:spacing w:after="120" w:before="120" w:line="276" w:lineRule="auto"/>
        <w:ind w:hanging="0" w:left="1134" w:right="0"/>
        <w:contextualSpacing/>
        <w:jc w:val="both"/>
        <w:rPr>
          <w:rFonts w:cs="Arial"/>
          <w:szCs w:val="20"/>
          <w:lang w:eastAsia="ar-SA"/>
        </w:rPr>
      </w:pPr>
      <w:commentRangeStart w:id="13"/>
      <w:r>
        <w:rPr>
          <w:rFonts w:cs="Arial"/>
          <w:szCs w:val="20"/>
          <w:lang w:eastAsia="ar-SA"/>
        </w:rPr>
        <w:t xml:space="preserve">a) </w:t>
      </w:r>
      <w:hyperlink r:id="rId12">
        <w:r>
          <w:rPr>
            <w:rStyle w:val="style24"/>
            <w:rFonts w:cs="Arial"/>
            <w:szCs w:val="20"/>
            <w:lang w:eastAsia="ar-SA"/>
          </w:rPr>
          <w:t>SICAF</w:t>
        </w:r>
      </w:hyperlink>
      <w:r>
        <w:rPr>
          <w:rFonts w:cs="Arial"/>
          <w:szCs w:val="20"/>
          <w:lang w:eastAsia="ar-SA"/>
        </w:rPr>
        <w:t xml:space="preserve">;  </w:t>
      </w:r>
    </w:p>
    <w:p>
      <w:pPr>
        <w:pStyle w:val="style121"/>
        <w:spacing w:after="120" w:before="120" w:line="276" w:lineRule="auto"/>
        <w:ind w:hanging="0" w:left="1134" w:right="0"/>
        <w:contextualSpacing/>
        <w:jc w:val="both"/>
        <w:rPr>
          <w:rFonts w:cs="Arial"/>
          <w:szCs w:val="20"/>
          <w:lang w:eastAsia="ar-SA"/>
        </w:rPr>
      </w:pPr>
      <w:r>
        <w:rPr>
          <w:rFonts w:cs="Arial"/>
          <w:szCs w:val="20"/>
          <w:lang w:eastAsia="ar-SA"/>
        </w:rPr>
        <w:t xml:space="preserve">b) Cadastro Nacional de Empresas Inidôneas e Suspensas - CEIS, mantido pela Controladoria-Geral da União </w:t>
      </w:r>
    </w:p>
    <w:p>
      <w:pPr>
        <w:pStyle w:val="style121"/>
        <w:spacing w:after="120" w:before="120" w:line="276" w:lineRule="auto"/>
        <w:ind w:hanging="0" w:left="1134" w:right="0"/>
        <w:contextualSpacing/>
        <w:jc w:val="both"/>
        <w:rPr>
          <w:rFonts w:cs="Arial"/>
          <w:szCs w:val="20"/>
          <w:lang w:eastAsia="ar-SA"/>
        </w:rPr>
      </w:pPr>
      <w:r>
        <w:rPr>
          <w:rFonts w:cs="Arial"/>
          <w:szCs w:val="20"/>
          <w:lang w:eastAsia="ar-SA"/>
        </w:rPr>
        <w:t>(</w:t>
      </w:r>
      <w:hyperlink r:id="rId13">
        <w:r>
          <w:rPr>
            <w:rStyle w:val="style24"/>
          </w:rPr>
          <w:t>https://portaldatransparencia.gov.br/sancoes/consulta?cadastro=1%2C2</w:t>
        </w:r>
      </w:hyperlink>
      <w:r>
        <w:rPr>
          <w:rFonts w:cs="Arial"/>
          <w:szCs w:val="20"/>
          <w:lang w:eastAsia="ar-SA"/>
        </w:rPr>
        <w:t>); e</w:t>
      </w:r>
    </w:p>
    <w:p>
      <w:pPr>
        <w:pStyle w:val="style121"/>
        <w:spacing w:after="120" w:before="120" w:line="276" w:lineRule="auto"/>
        <w:ind w:hanging="0" w:left="1134" w:right="0"/>
        <w:contextualSpacing/>
        <w:jc w:val="both"/>
        <w:rPr>
          <w:rFonts w:cs="Arial"/>
          <w:szCs w:val="20"/>
          <w:lang w:eastAsia="ar-SA"/>
        </w:rPr>
      </w:pPr>
      <w:r>
        <w:rPr>
          <w:rFonts w:cs="Arial"/>
          <w:szCs w:val="20"/>
          <w:lang w:eastAsia="ar-SA"/>
        </w:rPr>
        <w:t xml:space="preserve">c) Cadastro Nacional de Empresas Punidas – CNEP, mantido pela Controladoria-Geral da União </w:t>
      </w:r>
    </w:p>
    <w:p>
      <w:pPr>
        <w:pStyle w:val="style121"/>
        <w:spacing w:after="120" w:before="120" w:line="276" w:lineRule="auto"/>
        <w:ind w:hanging="0" w:left="1134" w:right="0"/>
        <w:contextualSpacing/>
        <w:jc w:val="both"/>
        <w:rPr>
          <w:rFonts w:cs="Arial"/>
          <w:szCs w:val="20"/>
          <w:lang w:eastAsia="ar-SA"/>
        </w:rPr>
      </w:pPr>
      <w:r>
        <w:rPr>
          <w:rFonts w:cs="Arial"/>
          <w:szCs w:val="20"/>
          <w:lang w:eastAsia="ar-SA"/>
        </w:rPr>
        <w:t>(</w:t>
      </w:r>
      <w:hyperlink r:id="rId14">
        <w:r>
          <w:rPr>
            <w:rStyle w:val="style24"/>
          </w:rPr>
          <w:t>https://portaldatransparencia.gov.br/sancoes/consulta?cadastro=1%2C2</w:t>
        </w:r>
      </w:hyperlink>
      <w:r>
        <w:rPr>
          <w:rFonts w:cs="Arial"/>
          <w:szCs w:val="20"/>
          <w:lang w:eastAsia="ar-SA"/>
        </w:rPr>
        <w:t>).</w:t>
      </w:r>
      <w:commentRangeEnd w:id="13"/>
      <w:r>
        <w:rPr>
          <w:rFonts w:cs="Arial"/>
          <w:szCs w:val="20"/>
          <w:lang w:eastAsia="ar-SA"/>
        </w:rPr>
      </w:r>
      <w:r>
        <w:rPr>
          <w:rFonts w:cs="Arial"/>
          <w:szCs w:val="20"/>
          <w:lang w:eastAsia="ar-SA"/>
        </w:rPr>
        <w:commentReference w:id="13"/>
      </w:r>
    </w:p>
    <w:p>
      <w:pPr>
        <w:pStyle w:val="style0"/>
        <w:numPr>
          <w:ilvl w:val="2"/>
          <w:numId w:val="1"/>
        </w:numPr>
        <w:spacing w:after="120" w:before="120" w:line="276" w:lineRule="auto"/>
        <w:contextualSpacing/>
        <w:jc w:val="both"/>
        <w:rPr>
          <w:rFonts w:cs="Arial"/>
          <w:color w:val="000000"/>
          <w:szCs w:val="20"/>
        </w:rPr>
      </w:pPr>
      <w:r>
        <w:rPr>
          <w:rFonts w:cs="Arial"/>
          <w:color w:val="000000"/>
          <w:szCs w:val="20"/>
        </w:rPr>
        <w:t xml:space="preserve">A consulta aos </w:t>
      </w:r>
      <w:r>
        <w:rPr>
          <w:rFonts w:cs="Arial"/>
          <w:szCs w:val="20"/>
          <w:lang w:eastAsia="ar-SA"/>
        </w:rPr>
        <w:t>cadastros</w:t>
      </w:r>
      <w:r>
        <w:rPr>
          <w:rFonts w:cs="Arial"/>
          <w:color w:val="000000"/>
          <w:szCs w:val="20"/>
        </w:rPr>
        <w:t xml:space="preserve"> será realizada em nome da empresa fornecedora e de seu sócio majoritário, por força do </w:t>
      </w:r>
      <w:r>
        <w:fldChar w:fldCharType="begin"/>
      </w:r>
      <w:r>
        <w:instrText> HYPERLINK "https://www.planalto.gov.br/ccivil_03/leis/l8429.htm" \l "art12"</w:instrText>
      </w:r>
      <w:r>
        <w:fldChar w:fldCharType="separate"/>
      </w:r>
      <w:r>
        <w:rPr>
          <w:rStyle w:val="style24"/>
          <w:rFonts w:cs="Arial"/>
          <w:szCs w:val="20"/>
        </w:rPr>
        <w:t>artigo 12 da Lei n° 8.429, de 2 de junho de 1992</w:t>
      </w:r>
      <w:r>
        <w:fldChar w:fldCharType="end"/>
      </w:r>
      <w:r>
        <w:rPr>
          <w:rFonts w:cs="Arial"/>
          <w:color w:val="000000"/>
          <w:szCs w:val="20"/>
        </w:rPr>
        <w:t>, que prevê, dentre as sanções impostas ao responsável pela prática de ato de improbidade administrativa, a proibição de contratar com o Poder Público, inclusive por intermédio de pessoa jurídica da qual seja sócio majoritário.</w:t>
      </w:r>
    </w:p>
    <w:p>
      <w:pPr>
        <w:pStyle w:val="style0"/>
        <w:numPr>
          <w:ilvl w:val="3"/>
          <w:numId w:val="1"/>
        </w:numPr>
        <w:spacing w:after="120" w:before="120" w:line="276" w:lineRule="auto"/>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respectivo Relatório.</w:t>
      </w:r>
    </w:p>
    <w:p>
      <w:pPr>
        <w:pStyle w:val="style0"/>
        <w:numPr>
          <w:ilvl w:val="4"/>
          <w:numId w:val="1"/>
        </w:numPr>
        <w:spacing w:after="120" w:before="120" w:line="276" w:lineRule="auto"/>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style0"/>
        <w:numPr>
          <w:ilvl w:val="4"/>
          <w:numId w:val="1"/>
        </w:numPr>
        <w:spacing w:after="120" w:before="120" w:line="276" w:lineRule="auto"/>
        <w:contextualSpacing/>
        <w:jc w:val="both"/>
        <w:rPr>
          <w:rFonts w:cs="Arial"/>
          <w:color w:val="000000"/>
          <w:szCs w:val="20"/>
        </w:rPr>
      </w:pPr>
      <w:r>
        <w:rPr>
          <w:rFonts w:cs="Arial"/>
          <w:color w:val="000000"/>
          <w:szCs w:val="20"/>
        </w:rPr>
        <w:t>O fornecedor será convocado para manifestação previamente à sua desclassificação</w:t>
      </w:r>
    </w:p>
    <w:p>
      <w:pPr>
        <w:pStyle w:val="style0"/>
        <w:numPr>
          <w:ilvl w:val="2"/>
          <w:numId w:val="1"/>
        </w:numPr>
        <w:spacing w:after="120" w:before="120" w:line="276" w:lineRule="auto"/>
        <w:contextualSpacing/>
        <w:jc w:val="both"/>
        <w:rPr>
          <w:rFonts w:cs="Arial"/>
          <w:color w:val="000000"/>
          <w:szCs w:val="20"/>
        </w:rPr>
      </w:pPr>
      <w:r>
        <w:rPr>
          <w:rFonts w:cs="Arial"/>
          <w:color w:val="000000"/>
          <w:szCs w:val="20"/>
        </w:rPr>
        <w:t>Constatada a existência de sanção, o fornecedor será considerado inabilitado, por falta de condição de participação.</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szCs w:val="20"/>
        </w:rPr>
        <w:t>.</w:t>
      </w:r>
    </w:p>
    <w:p>
      <w:pPr>
        <w:pStyle w:val="style0"/>
        <w:numPr>
          <w:ilvl w:val="2"/>
          <w:numId w:val="1"/>
        </w:numPr>
        <w:spacing w:after="120" w:before="120" w:line="276" w:lineRule="auto"/>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style0"/>
        <w:numPr>
          <w:ilvl w:val="2"/>
          <w:numId w:val="1"/>
        </w:numPr>
        <w:spacing w:after="120" w:before="120" w:line="276" w:lineRule="auto"/>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r>
        <w:fldChar w:fldCharType="begin"/>
      </w:r>
      <w:r>
        <w:instrText> HYPERLINK "https://www.in.gov.br/en/web/dou/-/instrucao-normativa-seges/me-n-67-de-8-de-julho-de-2021-330985107" \l "art19§3"</w:instrText>
      </w:r>
      <w:r>
        <w:fldChar w:fldCharType="separate"/>
      </w:r>
      <w:r>
        <w:rPr>
          <w:rStyle w:val="style24"/>
          <w:rFonts w:cs="Arial"/>
          <w:szCs w:val="20"/>
        </w:rPr>
        <w:t>art. 19, § 3º, da IN Seges/ME nº 67, de 2021</w:t>
      </w:r>
      <w:r>
        <w:fldChar w:fldCharType="end"/>
      </w:r>
      <w:r>
        <w:rPr>
          <w:rFonts w:cs="Arial"/>
          <w:color w:val="000000"/>
          <w:szCs w:val="20"/>
        </w:rPr>
        <w:t>).</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Não serão aceitos documentos de habilitação com indicação de CNPJ/CPF diferentes, salvo aqueles legalmente permitidos.</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Serão aceitos registros de CNPJ de licitante matriz e filial com diferenças de números de documentos pertinentes ao CND e ao CRF/FGTS, quando for comprovada a centralização do recolhimento dessas contribuições.</w:t>
      </w:r>
    </w:p>
    <w:p>
      <w:pPr>
        <w:pStyle w:val="style0"/>
        <w:numPr>
          <w:ilvl w:val="1"/>
          <w:numId w:val="1"/>
        </w:numPr>
        <w:spacing w:after="120" w:before="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style0"/>
        <w:numPr>
          <w:ilvl w:val="1"/>
          <w:numId w:val="1"/>
        </w:numPr>
        <w:spacing w:after="120" w:before="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style0"/>
        <w:numPr>
          <w:ilvl w:val="2"/>
          <w:numId w:val="1"/>
        </w:numPr>
        <w:spacing w:after="120" w:before="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style0"/>
        <w:numPr>
          <w:ilvl w:val="1"/>
          <w:numId w:val="1"/>
        </w:numPr>
        <w:spacing w:after="120" w:before="120" w:line="276" w:lineRule="auto"/>
        <w:contextualSpacing/>
        <w:jc w:val="both"/>
        <w:rPr>
          <w:rFonts w:cs="Arial"/>
          <w:iCs/>
        </w:rPr>
      </w:pPr>
      <w:r>
        <w:rPr>
          <w:rFonts w:cs="Arial"/>
          <w:iCs/>
        </w:rPr>
        <w:t>Constatado o atendimento às exigências de habilitação, o fornecedor será habilitado.</w:t>
      </w:r>
    </w:p>
    <w:p>
      <w:pPr>
        <w:pStyle w:val="style1"/>
        <w:numPr>
          <w:ilvl w:val="0"/>
          <w:numId w:val="1"/>
        </w:numPr>
        <w:rPr/>
      </w:pPr>
      <w:bookmarkStart w:id="13" w:name="__RefHeading__1211_195451382"/>
      <w:bookmarkStart w:id="14" w:name="_Toc118380905"/>
      <w:bookmarkEnd w:id="13"/>
      <w:bookmarkEnd w:id="14"/>
      <w:r>
        <w:rPr/>
        <w:t>CONTRATAÇÃO</w:t>
      </w:r>
    </w:p>
    <w:p>
      <w:pPr>
        <w:pStyle w:val="style0"/>
        <w:numPr>
          <w:ilvl w:val="1"/>
          <w:numId w:val="1"/>
        </w:numPr>
        <w:spacing w:after="120" w:before="120" w:line="276" w:lineRule="auto"/>
        <w:ind w:hanging="432" w:left="858" w:right="0"/>
        <w:contextualSpacing w:val="false"/>
        <w:jc w:val="both"/>
        <w:rPr>
          <w:rFonts w:cs="Arial" w:eastAsia="Arial"/>
          <w:color w:val="000000"/>
          <w:szCs w:val="20"/>
        </w:rPr>
      </w:pPr>
      <w:commentRangeStart w:id="14"/>
      <w:r>
        <w:rPr>
          <w:rFonts w:cs="Arial" w:eastAsia="Arial"/>
          <w:color w:val="000000"/>
          <w:szCs w:val="20"/>
        </w:rPr>
        <w:t>Após a homologação e adjudicação, caso se conclua pela contratação, será firmado Termo de Contrato ou emitido instrumento equivalente.</w:t>
      </w:r>
      <w:commentRangeEnd w:id="14"/>
      <w:r>
        <w:rPr>
          <w:rFonts w:cs="Arial" w:eastAsia="Arial"/>
          <w:color w:val="000000"/>
          <w:szCs w:val="20"/>
        </w:rPr>
      </w:r>
      <w:r>
        <w:rPr>
          <w:rFonts w:cs="Arial" w:eastAsia="Arial"/>
          <w:color w:val="000000"/>
          <w:szCs w:val="20"/>
        </w:rPr>
        <w:commentReference w:id="14"/>
      </w:r>
    </w:p>
    <w:p>
      <w:pPr>
        <w:pStyle w:val="style0"/>
        <w:numPr>
          <w:ilvl w:val="1"/>
          <w:numId w:val="1"/>
        </w:numPr>
        <w:spacing w:after="120" w:before="120" w:line="276" w:lineRule="auto"/>
        <w:ind w:hanging="432" w:left="858" w:right="0"/>
        <w:contextualSpacing w:val="false"/>
        <w:jc w:val="both"/>
        <w:rPr>
          <w:rFonts w:cs="Arial" w:eastAsia="Arial"/>
          <w:color w:val="000000"/>
          <w:szCs w:val="20"/>
        </w:rPr>
      </w:pPr>
      <w:r>
        <w:rPr>
          <w:rFonts w:cs="Arial" w:eastAsia="Arial"/>
          <w:color w:val="000000"/>
          <w:szCs w:val="20"/>
        </w:rPr>
        <w:t xml:space="preserve">O adjudicatário terá o prazo </w:t>
      </w:r>
      <w:r>
        <w:rPr>
          <w:rFonts w:cs="Arial" w:eastAsia="Arial"/>
          <w:szCs w:val="20"/>
        </w:rPr>
        <w:t xml:space="preserve">de 10 </w:t>
      </w:r>
      <w:r>
        <w:rPr>
          <w:rFonts w:cs="Arial" w:eastAsia="Arial"/>
          <w:iCs/>
          <w:szCs w:val="20"/>
        </w:rPr>
        <w:t>(dez)</w:t>
      </w:r>
      <w:r>
        <w:rPr>
          <w:rFonts w:cs="Arial" w:eastAsia="Arial"/>
          <w:i/>
          <w:szCs w:val="20"/>
        </w:rPr>
        <w:t xml:space="preserve"> dias úteis,</w:t>
      </w:r>
      <w:r>
        <w:rPr>
          <w:rFonts w:cs="Arial" w:eastAsia="Arial"/>
          <w:szCs w:val="20"/>
        </w:rPr>
        <w:t xml:space="preserve"> contados a partir da data de sua convocação, para </w:t>
      </w:r>
      <w:r>
        <w:rPr>
          <w:rFonts w:cs="Arial" w:eastAsia="Arial"/>
          <w:i/>
          <w:szCs w:val="20"/>
        </w:rPr>
        <w:t xml:space="preserve">assinar o Termo de Contrato ou aceitar instrumento equivalente, conforme o caso (Nota de Empenho/Carta Contrato/Autorização), </w:t>
      </w:r>
      <w:r>
        <w:rPr>
          <w:rFonts w:cs="Arial" w:eastAsia="Arial"/>
          <w:szCs w:val="20"/>
        </w:rPr>
        <w:t xml:space="preserve">sob </w:t>
      </w:r>
      <w:r>
        <w:rPr>
          <w:rFonts w:cs="Arial" w:eastAsia="Arial"/>
          <w:color w:val="000000"/>
          <w:szCs w:val="20"/>
        </w:rPr>
        <w:t xml:space="preserve">pena de decair o direito à contratação, sem prejuízo das sanções previstas neste Aviso de Contratação Direta. </w:t>
      </w:r>
    </w:p>
    <w:p>
      <w:pPr>
        <w:pStyle w:val="style0"/>
        <w:numPr>
          <w:ilvl w:val="2"/>
          <w:numId w:val="1"/>
        </w:numPr>
        <w:spacing w:after="120" w:before="120" w:line="276" w:lineRule="auto"/>
        <w:contextualSpacing w:val="false"/>
        <w:jc w:val="both"/>
        <w:rPr>
          <w:rFonts w:eastAsia="Arial"/>
          <w:color w:val="000000"/>
        </w:rPr>
      </w:pPr>
      <w:r>
        <w:rPr>
          <w:rFonts w:cs="Arial" w:eastAsia="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cs="Arial" w:eastAsia="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pPr>
        <w:pStyle w:val="style0"/>
        <w:numPr>
          <w:ilvl w:val="2"/>
          <w:numId w:val="1"/>
        </w:numPr>
        <w:spacing w:after="120" w:before="120" w:line="276" w:lineRule="auto"/>
        <w:contextualSpacing w:val="false"/>
        <w:jc w:val="both"/>
        <w:rPr>
          <w:rFonts w:cs="Arial" w:eastAsia="Arial"/>
          <w:color w:val="000000"/>
          <w:szCs w:val="20"/>
        </w:rPr>
      </w:pPr>
      <w:r>
        <w:rPr>
          <w:rFonts w:cs="Arial" w:eastAsia="Arial"/>
          <w:color w:val="000000"/>
          <w:szCs w:val="20"/>
        </w:rPr>
        <w:t>O prazo previsto no subitem anterior poderá ser prorrogado, por igual período, por solicitação justificada do adjudicatário e aceita pela Administração.</w:t>
      </w:r>
      <w:r>
        <w:rPr>
          <w:rFonts w:cs="Arial" w:eastAsia="Arial"/>
          <w:color w:val="000000"/>
          <w:szCs w:val="20"/>
        </w:rPr>
        <w:commentReference w:id="15"/>
      </w:r>
    </w:p>
    <w:p>
      <w:pPr>
        <w:pStyle w:val="style0"/>
        <w:numPr>
          <w:ilvl w:val="1"/>
          <w:numId w:val="1"/>
        </w:numPr>
        <w:spacing w:after="120" w:before="120" w:line="276" w:lineRule="auto"/>
        <w:ind w:hanging="432" w:left="858" w:right="0"/>
        <w:contextualSpacing w:val="false"/>
        <w:jc w:val="both"/>
        <w:rPr>
          <w:rFonts w:cs="Arial" w:eastAsia="Arial"/>
          <w:i/>
          <w:color w:val="000000"/>
          <w:szCs w:val="20"/>
        </w:rPr>
      </w:pPr>
      <w:commentRangeStart w:id="16"/>
      <w:r>
        <w:rPr>
          <w:rFonts w:cs="Arial" w:eastAsia="Arial"/>
          <w:i/>
          <w:color w:val="000000"/>
          <w:szCs w:val="20"/>
        </w:rPr>
        <w:t>O Aceite da Nota de Empenho ou do instrumento equivalente, emitida ao fornecedor adjudicado, implica o reconhecimento de que:</w:t>
      </w:r>
    </w:p>
    <w:p>
      <w:pPr>
        <w:pStyle w:val="style0"/>
        <w:numPr>
          <w:ilvl w:val="2"/>
          <w:numId w:val="1"/>
        </w:numPr>
        <w:spacing w:after="120" w:before="120" w:line="276" w:lineRule="auto"/>
        <w:contextualSpacing w:val="false"/>
        <w:jc w:val="both"/>
        <w:rPr>
          <w:rFonts w:cs="Arial" w:eastAsia="Arial"/>
          <w:i/>
          <w:color w:val="000000"/>
          <w:szCs w:val="20"/>
        </w:rPr>
      </w:pPr>
      <w:r>
        <w:rPr>
          <w:rFonts w:cs="Arial" w:eastAsia="Arial"/>
          <w:i/>
          <w:color w:val="000000"/>
          <w:szCs w:val="20"/>
        </w:rPr>
        <w:t xml:space="preserve">referida Nota está substituindo o contrato, aplicando-se à relação de negócios ali estabelecida as disposições da </w:t>
      </w:r>
      <w:hyperlink r:id="rId15">
        <w:r>
          <w:rPr>
            <w:rStyle w:val="style24"/>
            <w:rFonts w:cs="Arial" w:eastAsia="Arial"/>
            <w:i/>
            <w:color w:val="000000"/>
            <w:szCs w:val="20"/>
          </w:rPr>
          <w:t>Lei nº 14.133, de 2021</w:t>
        </w:r>
      </w:hyperlink>
      <w:r>
        <w:rPr>
          <w:rFonts w:cs="Arial" w:eastAsia="Arial"/>
          <w:i/>
          <w:color w:val="000000"/>
          <w:szCs w:val="20"/>
        </w:rPr>
        <w:t>;</w:t>
      </w:r>
    </w:p>
    <w:p>
      <w:pPr>
        <w:pStyle w:val="style0"/>
        <w:numPr>
          <w:ilvl w:val="2"/>
          <w:numId w:val="1"/>
        </w:numPr>
        <w:spacing w:after="120" w:before="120" w:line="276" w:lineRule="auto"/>
        <w:contextualSpacing w:val="false"/>
        <w:jc w:val="both"/>
        <w:rPr>
          <w:rFonts w:cs="Arial" w:eastAsia="Arial"/>
          <w:i/>
          <w:color w:val="000000"/>
          <w:szCs w:val="20"/>
        </w:rPr>
      </w:pPr>
      <w:r>
        <w:rPr>
          <w:rFonts w:cs="Arial" w:eastAsia="Arial"/>
          <w:i/>
          <w:color w:val="000000"/>
          <w:szCs w:val="20"/>
        </w:rPr>
        <w:t>a contratada se vincula à sua proposta e às previsões contidas no Aviso de Contratação Direta e seus anexos;</w:t>
      </w:r>
    </w:p>
    <w:p>
      <w:pPr>
        <w:pStyle w:val="style0"/>
        <w:numPr>
          <w:ilvl w:val="2"/>
          <w:numId w:val="1"/>
        </w:numPr>
        <w:spacing w:after="120" w:before="120" w:line="276" w:lineRule="auto"/>
        <w:contextualSpacing w:val="false"/>
        <w:jc w:val="both"/>
        <w:rPr>
          <w:rFonts w:cs="Arial" w:eastAsia="Arial"/>
          <w:i/>
          <w:color w:val="000000"/>
          <w:szCs w:val="20"/>
        </w:rPr>
      </w:pPr>
      <w:r>
        <w:rPr>
          <w:rFonts w:cs="Arial" w:eastAsia="Arial"/>
          <w:i/>
          <w:color w:val="000000"/>
          <w:szCs w:val="20"/>
        </w:rPr>
        <w:t xml:space="preserve">a contratada reconhece que as hipóteses de rescisão são aquelas previstas nos </w:t>
      </w:r>
      <w:r>
        <w:fldChar w:fldCharType="begin"/>
      </w:r>
      <w:r>
        <w:instrText> HYPERLINK "http://www.planalto.gov.br/ccivil_03/_ato2019-2022/2021/lei/L14133.htm" \l "art137"</w:instrText>
      </w:r>
      <w:r>
        <w:fldChar w:fldCharType="separate"/>
      </w:r>
      <w:r>
        <w:rPr>
          <w:rStyle w:val="style24"/>
          <w:rFonts w:cs="Arial" w:eastAsia="Arial"/>
          <w:i/>
          <w:color w:val="000000"/>
          <w:szCs w:val="20"/>
        </w:rPr>
        <w:t>artigos 137 e 138 da Lei nº 14.133, de 2021</w:t>
      </w:r>
      <w:r>
        <w:fldChar w:fldCharType="end"/>
      </w:r>
      <w:r>
        <w:rPr>
          <w:rFonts w:cs="Arial" w:eastAsia="Arial"/>
          <w:i/>
          <w:color w:val="000000"/>
          <w:szCs w:val="20"/>
        </w:rPr>
        <w:t xml:space="preserve"> e reconhece os direitos da Administração previstos nos </w:t>
      </w:r>
      <w:r>
        <w:fldChar w:fldCharType="begin"/>
      </w:r>
      <w:r>
        <w:instrText> HYPERLINK "http://www.planalto.gov.br/ccivil_03/_ato2019-2022/2021/lei/L14133.htm" \l "art137"</w:instrText>
      </w:r>
      <w:r>
        <w:fldChar w:fldCharType="separate"/>
      </w:r>
      <w:r>
        <w:rPr>
          <w:rStyle w:val="style24"/>
          <w:rFonts w:cs="Arial" w:eastAsia="Arial"/>
          <w:i/>
          <w:color w:val="000000"/>
          <w:szCs w:val="20"/>
        </w:rPr>
        <w:t>artigos 137 a 139 da mesma Lei</w:t>
      </w:r>
      <w:r>
        <w:fldChar w:fldCharType="end"/>
      </w:r>
      <w:r>
        <w:rPr>
          <w:rFonts w:cs="Arial" w:eastAsia="Arial"/>
          <w:i/>
          <w:color w:val="000000"/>
          <w:szCs w:val="20"/>
        </w:rPr>
        <w:t>.</w:t>
      </w:r>
      <w:commentRangeEnd w:id="16"/>
      <w:r>
        <w:rPr>
          <w:rFonts w:cs="Arial" w:eastAsia="Arial"/>
          <w:i/>
          <w:color w:val="000000"/>
          <w:szCs w:val="20"/>
        </w:rPr>
      </w:r>
      <w:r>
        <w:rPr>
          <w:rFonts w:cs="Arial" w:eastAsia="Arial"/>
          <w:i/>
          <w:color w:val="000000"/>
          <w:szCs w:val="20"/>
        </w:rPr>
        <w:commentReference w:id="16"/>
      </w:r>
    </w:p>
    <w:p>
      <w:pPr>
        <w:pStyle w:val="style0"/>
        <w:numPr>
          <w:ilvl w:val="1"/>
          <w:numId w:val="1"/>
        </w:numPr>
        <w:spacing w:after="120" w:before="120" w:line="276" w:lineRule="auto"/>
        <w:ind w:hanging="432" w:left="858" w:right="0"/>
        <w:contextualSpacing w:val="false"/>
        <w:jc w:val="both"/>
        <w:rPr>
          <w:rFonts w:cs="Arial" w:eastAsia="Arial"/>
          <w:color w:val="000000"/>
          <w:szCs w:val="20"/>
        </w:rPr>
      </w:pPr>
      <w:r>
        <w:rPr>
          <w:rFonts w:cs="Arial" w:eastAsia="Arial"/>
          <w:color w:val="000000"/>
          <w:szCs w:val="20"/>
        </w:rPr>
        <w:t xml:space="preserve">O prazo de vigência da contratação é o estabelecido no Termo de Referência. </w:t>
      </w:r>
    </w:p>
    <w:p>
      <w:pPr>
        <w:pStyle w:val="style0"/>
        <w:numPr>
          <w:ilvl w:val="1"/>
          <w:numId w:val="1"/>
        </w:numPr>
        <w:spacing w:after="120" w:before="120" w:line="276" w:lineRule="auto"/>
        <w:ind w:hanging="432" w:left="858" w:right="0"/>
        <w:contextualSpacing w:val="false"/>
        <w:jc w:val="both"/>
        <w:rPr>
          <w:rFonts w:cs="Arial"/>
          <w:color w:val="000000"/>
          <w:szCs w:val="20"/>
        </w:rPr>
      </w:pPr>
      <w:commentRangeStart w:id="17"/>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17"/>
      <w:r>
        <w:rPr>
          <w:rFonts w:cs="Arial"/>
          <w:color w:val="000000"/>
          <w:szCs w:val="20"/>
        </w:rPr>
      </w:r>
      <w:r>
        <w:rPr>
          <w:rFonts w:cs="Arial"/>
          <w:color w:val="000000"/>
          <w:szCs w:val="20"/>
        </w:rPr>
        <w:commentReference w:id="17"/>
      </w:r>
    </w:p>
    <w:p>
      <w:pPr>
        <w:pStyle w:val="style1"/>
        <w:numPr>
          <w:ilvl w:val="0"/>
          <w:numId w:val="1"/>
        </w:numPr>
        <w:rPr/>
      </w:pPr>
      <w:bookmarkStart w:id="15" w:name="__RefHeading__1213_195451382"/>
      <w:bookmarkStart w:id="16" w:name="_Toc118380906"/>
      <w:bookmarkEnd w:id="15"/>
      <w:bookmarkEnd w:id="16"/>
      <w:r>
        <w:rPr/>
        <w:t>INFRAÇÕES E SANÇÕES ADMINISTRATIVAS</w:t>
      </w:r>
    </w:p>
    <w:p>
      <w:pPr>
        <w:pStyle w:val="style0"/>
        <w:numPr>
          <w:ilvl w:val="1"/>
          <w:numId w:val="1"/>
        </w:numPr>
        <w:spacing w:after="120" w:before="120" w:line="276" w:lineRule="auto"/>
        <w:ind w:hanging="432" w:left="858" w:right="0"/>
        <w:contextualSpacing w:val="false"/>
        <w:jc w:val="both"/>
        <w:rPr>
          <w:rFonts w:cs="Arial"/>
        </w:rPr>
      </w:pPr>
      <w:r>
        <w:rPr>
          <w:rFonts w:cs="Arial"/>
        </w:rPr>
        <w:t xml:space="preserve">Comete infração administrativa o fornecedor que praticar quaisquer das hipóteses previstas no </w:t>
      </w:r>
      <w:r>
        <w:fldChar w:fldCharType="begin"/>
      </w:r>
      <w:r>
        <w:instrText> HYPERLINK "http://www.planalto.gov.br/ccivil_03/_ato2019-2022/2021/lei/L14133.htm" \l "art155"</w:instrText>
      </w:r>
      <w:r>
        <w:fldChar w:fldCharType="separate"/>
      </w:r>
      <w:r>
        <w:rPr>
          <w:rStyle w:val="style24"/>
          <w:rFonts w:cs="Arial"/>
        </w:rPr>
        <w:t>art. 155 da Lei nº 14.133, de 2021</w:t>
      </w:r>
      <w:r>
        <w:fldChar w:fldCharType="end"/>
      </w:r>
      <w:r>
        <w:rPr>
          <w:rFonts w:cs="Arial"/>
        </w:rPr>
        <w:t xml:space="preserve">, quais sejam: </w:t>
      </w:r>
    </w:p>
    <w:p>
      <w:pPr>
        <w:pStyle w:val="style0"/>
        <w:numPr>
          <w:ilvl w:val="2"/>
          <w:numId w:val="1"/>
        </w:numPr>
        <w:spacing w:after="120" w:before="120" w:line="276" w:lineRule="auto"/>
        <w:contextualSpacing w:val="false"/>
        <w:jc w:val="both"/>
        <w:rPr>
          <w:rFonts w:cs="Arial"/>
        </w:rPr>
      </w:pPr>
      <w:r>
        <w:rPr>
          <w:rFonts w:cs="Arial"/>
          <w:color w:val="000000"/>
          <w:szCs w:val="20"/>
        </w:rPr>
        <w:t>dar causa à inexecução parcial do contrato</w:t>
      </w:r>
      <w:r>
        <w:rPr>
          <w:rFonts w:cs="Arial"/>
        </w:rPr>
        <w:t>;</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dar causa à inexecução total do contrato;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deixar de entregar a documentação exigida para o certame;</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não manter a proposta, salvo em decorrência de fato superveniente devidamente justificado;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 </w:t>
      </w:r>
      <w:r>
        <w:rPr>
          <w:rFonts w:cs="Arial"/>
          <w:color w:val="000000"/>
          <w:szCs w:val="20"/>
        </w:rPr>
        <w:t>ensejar o retardamento da execução ou da entrega do objeto da licitação sem motivo justificado;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fraudar a dispensa eletrônica ou praticar ato fraudulento na execução do contrato;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 </w:t>
      </w:r>
      <w:r>
        <w:rPr>
          <w:rFonts w:cs="Arial"/>
          <w:color w:val="000000"/>
          <w:szCs w:val="20"/>
        </w:rPr>
        <w:t>comportar-se de modo inidôneo ou cometer fraude de qualquer natureza;</w:t>
      </w:r>
    </w:p>
    <w:p>
      <w:pPr>
        <w:pStyle w:val="style121"/>
        <w:numPr>
          <w:ilvl w:val="3"/>
          <w:numId w:val="1"/>
        </w:numPr>
        <w:spacing w:after="120" w:before="120" w:line="276" w:lineRule="auto"/>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 </w:t>
      </w:r>
      <w:r>
        <w:rPr>
          <w:rFonts w:cs="Arial"/>
          <w:color w:val="000000"/>
          <w:szCs w:val="20"/>
        </w:rPr>
        <w:t>praticar atos ilícitos com vistas a frustrar os objetivos deste certame.</w:t>
      </w:r>
    </w:p>
    <w:p>
      <w:pPr>
        <w:pStyle w:val="style0"/>
        <w:numPr>
          <w:ilvl w:val="2"/>
          <w:numId w:val="1"/>
        </w:numPr>
        <w:spacing w:after="120" w:before="120" w:line="276" w:lineRule="auto"/>
        <w:contextualSpacing w:val="false"/>
        <w:jc w:val="both"/>
        <w:rPr>
          <w:rStyle w:val="style24"/>
        </w:rPr>
      </w:pPr>
      <w:r>
        <w:rPr>
          <w:rFonts w:cs="Arial"/>
          <w:color w:val="000000"/>
          <w:szCs w:val="20"/>
        </w:rPr>
        <w:t>praticar ato lesivo previsto no </w:t>
      </w:r>
      <w:r>
        <w:fldChar w:fldCharType="begin"/>
      </w:r>
      <w:r>
        <w:instrText> HYPERLINK "http://www.planalto.gov.br/ccivil_03/_ato2019-2022/2021/lei/L14133.htm" \l "art5"</w:instrText>
      </w:r>
      <w:r>
        <w:fldChar w:fldCharType="separate"/>
      </w:r>
      <w:r>
        <w:rPr>
          <w:rStyle w:val="style24"/>
        </w:rPr>
        <w:t>art. 5º da Lei nº 12.846, de 1º de agosto de 2013.</w:t>
      </w:r>
      <w:r>
        <w:fldChar w:fldCharType="end"/>
      </w:r>
    </w:p>
    <w:p>
      <w:pPr>
        <w:pStyle w:val="style0"/>
        <w:numPr>
          <w:ilvl w:val="1"/>
          <w:numId w:val="1"/>
        </w:numPr>
        <w:spacing w:after="120" w:before="120" w:line="276" w:lineRule="auto"/>
        <w:ind w:hanging="432" w:left="858" w:right="0"/>
        <w:contextualSpacing w:val="false"/>
        <w:jc w:val="both"/>
        <w:rPr>
          <w:rStyle w:val="style24"/>
          <w:rFonts w:cs="Arial"/>
        </w:rPr>
      </w:pPr>
      <w:r>
        <w:fldChar w:fldCharType="begin"/>
      </w:r>
      <w:r>
        <w:instrText> HYPERLINK "http://www.planalto.gov.br/ccivil_03/_ato2019-2022/2021/lei/L14133.htm" \l "art5"</w:instrText>
      </w:r>
      <w:r>
        <w:fldChar w:fldCharType="separate"/>
      </w:r>
      <w:r>
        <w:rPr>
          <w:rStyle w:val="style24"/>
          <w:rFonts w:cs="Arial"/>
        </w:rPr>
        <w:t>O fornecedor que cometer qualquer das infrações discriminadas nos subitens anteriores ficará sujeito, sem prejuízo da responsabilidade civil e criminal, às seguintes sanções:</w:t>
      </w:r>
      <w:r>
        <w:fldChar w:fldCharType="end"/>
      </w:r>
    </w:p>
    <w:p>
      <w:pPr>
        <w:pStyle w:val="style0"/>
        <w:numPr>
          <w:ilvl w:val="2"/>
          <w:numId w:val="4"/>
        </w:numPr>
        <w:spacing w:after="120" w:before="120" w:line="276" w:lineRule="auto"/>
        <w:contextualSpacing w:val="false"/>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style0"/>
        <w:numPr>
          <w:ilvl w:val="2"/>
          <w:numId w:val="4"/>
        </w:numPr>
        <w:spacing w:after="120" w:before="120" w:line="276" w:lineRule="auto"/>
        <w:contextualSpacing w:val="false"/>
        <w:jc w:val="both"/>
        <w:rPr>
          <w:rFonts w:cs="Arial"/>
        </w:rPr>
      </w:pPr>
      <w:commentRangeStart w:id="18"/>
      <w:r>
        <w:rPr>
          <w:rFonts w:cs="Arial"/>
        </w:rPr>
        <w:t>Multa de 10 % (dez por cento) sobre o valor estimado do(s) item(s) prejudicado(s) pela conduta do fornecedor, por qualquer das infrações dos subitens 8.1.1 a 8.1.12;</w:t>
      </w:r>
      <w:commentRangeEnd w:id="18"/>
      <w:r>
        <w:rPr>
          <w:rFonts w:cs="Arial"/>
        </w:rPr>
      </w:r>
      <w:r>
        <w:rPr>
          <w:rFonts w:cs="Arial"/>
        </w:rPr>
        <w:commentReference w:id="18"/>
      </w:r>
    </w:p>
    <w:p>
      <w:pPr>
        <w:pStyle w:val="style0"/>
        <w:numPr>
          <w:ilvl w:val="2"/>
          <w:numId w:val="4"/>
        </w:numPr>
        <w:spacing w:after="120" w:before="120" w:line="276" w:lineRule="auto"/>
        <w:contextualSpacing w:val="false"/>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style0"/>
        <w:numPr>
          <w:ilvl w:val="2"/>
          <w:numId w:val="4"/>
        </w:numPr>
        <w:spacing w:after="120" w:before="120" w:line="276" w:lineRule="auto"/>
        <w:contextualSpacing w:val="false"/>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A aplicação das sanções previstas neste Contrato não exclui, em hipótese alguma, a obrigação de reparação integral do dano causado à Contratante (</w:t>
      </w:r>
      <w:r>
        <w:fldChar w:fldCharType="begin"/>
      </w:r>
      <w:r>
        <w:instrText> HYPERLINK "http://www.planalto.gov.br/ccivil_03/_ato2019-2022/2021/lei/L14133.htm" \l "art156§9"</w:instrText>
      </w:r>
      <w:r>
        <w:fldChar w:fldCharType="separate"/>
      </w:r>
      <w:r>
        <w:rPr>
          <w:rStyle w:val="style24"/>
          <w:rFonts w:cs="Arial"/>
          <w:bCs/>
        </w:rPr>
        <w:t>art. 156, §9º</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Todas as sanções previstas neste Aviso poderão ser aplicadas cumulativamente com a multa </w:t>
      </w:r>
      <w:r>
        <w:fldChar w:fldCharType="begin"/>
      </w:r>
      <w:r>
        <w:instrText> HYPERLINK "http://www.planalto.gov.br/ccivil_03/_ato2019-2022/2021/lei/L14133.htm" \l "art156§7"</w:instrText>
      </w:r>
      <w:r>
        <w:fldChar w:fldCharType="separate"/>
      </w:r>
      <w:r>
        <w:rPr>
          <w:rStyle w:val="style24"/>
          <w:rFonts w:cs="Arial"/>
          <w:bCs/>
        </w:rPr>
        <w:t>(art. 156, §7º</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Antes da aplicação da multa, será facultada a defesa do interessado no prazo de 15 (quinze) dias úteis, contado da data de sua intimação (</w:t>
      </w:r>
      <w:r>
        <w:fldChar w:fldCharType="begin"/>
      </w:r>
      <w:r>
        <w:instrText> HYPERLINK "http://www.planalto.gov.br/ccivil_03/_ato2019-2022/2021/lei/L14133.htm" \l "art157"</w:instrText>
      </w:r>
      <w:r>
        <w:fldChar w:fldCharType="separate"/>
      </w:r>
      <w:r>
        <w:rPr>
          <w:rStyle w:val="style24"/>
          <w:rFonts w:cs="Arial"/>
          <w:bCs/>
        </w:rPr>
        <w:t>art. 157</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HYPERLINK "http://www.planalto.gov.br/ccivil_03/_ato2019-2022/2021/lei/L14133.htm" \l "art156§8"</w:instrText>
      </w:r>
      <w:r>
        <w:fldChar w:fldCharType="separate"/>
      </w:r>
      <w:r>
        <w:rPr>
          <w:rStyle w:val="style24"/>
          <w:rFonts w:cs="Arial"/>
          <w:bCs/>
        </w:rPr>
        <w:t>art. 156, §8º</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bookmarkStart w:id="17" w:name="_Hlk78351618"/>
      <w:bookmarkEnd w:id="17"/>
      <w:r>
        <w:rPr>
          <w:rFonts w:cs="Arial"/>
          <w:bCs/>
        </w:rPr>
        <w:t>dias, a contar da data do recebimento da comunicação enviada pela autoridade competente.</w:t>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instrText> HYPERLINK "http://www.planalto.gov.br/ccivil_03/_ato2019-2022/2021/lei/L14133.htm" \l "art158"</w:instrText>
      </w:r>
      <w:r>
        <w:fldChar w:fldCharType="separate"/>
      </w:r>
      <w:r>
        <w:rPr>
          <w:rStyle w:val="style24"/>
          <w:rFonts w:cs="Arial"/>
          <w:bCs/>
        </w:rPr>
        <w:t>art. 158 da Lei nº 14.133, de 2021</w:t>
      </w:r>
      <w:r>
        <w:fldChar w:fldCharType="end"/>
      </w:r>
      <w:r>
        <w:rPr>
          <w:rFonts w:cs="Arial"/>
          <w:bCs/>
        </w:rPr>
        <w:t>, para as penalidades de impedimento de licitar e contratar e de declaração de inidoneidade para licitar ou contratar.</w:t>
      </w:r>
    </w:p>
    <w:p>
      <w:pPr>
        <w:pStyle w:val="style0"/>
        <w:numPr>
          <w:ilvl w:val="1"/>
          <w:numId w:val="1"/>
        </w:numPr>
        <w:spacing w:after="120" w:before="120" w:line="276" w:lineRule="auto"/>
        <w:ind w:hanging="432" w:left="858" w:right="0"/>
        <w:contextualSpacing w:val="false"/>
        <w:jc w:val="both"/>
        <w:rPr>
          <w:rFonts w:cs="Arial"/>
          <w:bCs/>
        </w:rPr>
      </w:pPr>
      <w:r>
        <w:rPr>
          <w:rFonts w:cs="Arial"/>
          <w:bCs/>
        </w:rPr>
        <w:t>Na aplicação das sanções serão considerados (</w:t>
      </w:r>
      <w:r>
        <w:fldChar w:fldCharType="begin"/>
      </w:r>
      <w:r>
        <w:instrText> HYPERLINK "http://www.planalto.gov.br/ccivil_03/_ato2019-2022/2021/lei/L14133.htm" \l "art156§1"</w:instrText>
      </w:r>
      <w:r>
        <w:fldChar w:fldCharType="separate"/>
      </w:r>
      <w:r>
        <w:rPr>
          <w:rStyle w:val="style24"/>
          <w:rFonts w:cs="Arial"/>
          <w:bCs/>
        </w:rPr>
        <w:t>art. 156, §1º</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a natureza e a gravidade da infração cometida;</w:t>
      </w:r>
    </w:p>
    <w:p>
      <w:pPr>
        <w:pStyle w:val="style0"/>
        <w:numPr>
          <w:ilvl w:val="1"/>
          <w:numId w:val="1"/>
        </w:numPr>
        <w:spacing w:after="120" w:before="120" w:line="276" w:lineRule="auto"/>
        <w:ind w:hanging="432" w:left="858" w:right="0"/>
        <w:contextualSpacing w:val="false"/>
        <w:jc w:val="both"/>
        <w:rPr>
          <w:rFonts w:cs="Arial"/>
          <w:bCs/>
        </w:rPr>
      </w:pPr>
      <w:r>
        <w:rPr>
          <w:rFonts w:cs="Arial"/>
          <w:bCs/>
        </w:rPr>
        <w:t>as peculiaridades do caso concreto;</w:t>
      </w:r>
    </w:p>
    <w:p>
      <w:pPr>
        <w:pStyle w:val="style0"/>
        <w:numPr>
          <w:ilvl w:val="1"/>
          <w:numId w:val="1"/>
        </w:numPr>
        <w:spacing w:after="120" w:before="120" w:line="276" w:lineRule="auto"/>
        <w:ind w:hanging="432" w:left="858" w:right="0"/>
        <w:contextualSpacing w:val="false"/>
        <w:jc w:val="both"/>
        <w:rPr>
          <w:rFonts w:cs="Arial"/>
          <w:bCs/>
        </w:rPr>
      </w:pPr>
      <w:r>
        <w:rPr>
          <w:rFonts w:cs="Arial"/>
          <w:bCs/>
        </w:rPr>
        <w:t>as circunstâncias agravantes ou atenuantes;</w:t>
      </w:r>
    </w:p>
    <w:p>
      <w:pPr>
        <w:pStyle w:val="style0"/>
        <w:numPr>
          <w:ilvl w:val="1"/>
          <w:numId w:val="1"/>
        </w:numPr>
        <w:spacing w:after="120" w:before="120" w:line="276" w:lineRule="auto"/>
        <w:ind w:hanging="432" w:left="858" w:right="0"/>
        <w:contextualSpacing w:val="false"/>
        <w:jc w:val="both"/>
        <w:rPr>
          <w:rFonts w:cs="Arial"/>
          <w:bCs/>
        </w:rPr>
      </w:pPr>
      <w:r>
        <w:rPr>
          <w:rFonts w:cs="Arial"/>
          <w:bCs/>
        </w:rPr>
        <w:t>os danos que dela provierem para o Contratante;</w:t>
      </w:r>
    </w:p>
    <w:p>
      <w:pPr>
        <w:pStyle w:val="style0"/>
        <w:numPr>
          <w:ilvl w:val="1"/>
          <w:numId w:val="1"/>
        </w:numPr>
        <w:spacing w:after="120" w:before="120" w:line="276" w:lineRule="auto"/>
        <w:ind w:hanging="432" w:left="858" w:right="0"/>
        <w:contextualSpacing w:val="false"/>
        <w:jc w:val="both"/>
        <w:rPr>
          <w:rFonts w:cs="Arial"/>
          <w:bCs/>
        </w:rPr>
      </w:pPr>
      <w:r>
        <w:rPr>
          <w:rFonts w:cs="Arial"/>
          <w:bCs/>
        </w:rPr>
        <w:t>a implantação ou o aperfeiçoamento de programa de integridade, conforme normas e orientações dos órgãos de controle.</w:t>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Os atos previstos como infrações administrativas na </w:t>
      </w:r>
      <w:hyperlink r:id="rId16">
        <w:r>
          <w:rPr>
            <w:rStyle w:val="style24"/>
            <w:rFonts w:cs="Arial"/>
            <w:bCs/>
          </w:rPr>
          <w:t>Lei nº 14.133, de 2021</w:t>
        </w:r>
      </w:hyperlink>
      <w:r>
        <w:rPr>
          <w:rFonts w:cs="Arial"/>
          <w:bCs/>
        </w:rPr>
        <w:t xml:space="preserve">, ou em outras leis de licitações e contratos da Administração Pública que também sejam tipificados como atos lesivos na </w:t>
      </w:r>
      <w:hyperlink r:id="rId17">
        <w:r>
          <w:rPr>
            <w:rStyle w:val="style24"/>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instrText> HYPERLINK "http://www.planalto.gov.br/ccivil_03/_ato2019-2022/2021/lei/L14133.htm" \l "art159"</w:instrText>
      </w:r>
      <w:r>
        <w:fldChar w:fldCharType="separate"/>
      </w:r>
      <w:r>
        <w:rPr>
          <w:rStyle w:val="style24"/>
          <w:rFonts w:cs="Arial"/>
          <w:bCs/>
        </w:rPr>
        <w:t>art. 159</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HYPERLINK "http://www.planalto.gov.br/ccivil_03/_ato2019-2022/2021/lei/L14133.htm" \l "art160"</w:instrText>
      </w:r>
      <w:r>
        <w:fldChar w:fldCharType="separate"/>
      </w:r>
      <w:r>
        <w:rPr>
          <w:rStyle w:val="style24"/>
          <w:rFonts w:cs="Arial"/>
          <w:bCs/>
        </w:rPr>
        <w:t>art. 160</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Fonts w:cs="Arial"/>
          <w:bCs/>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instrText> HYPERLINK "http://www.planalto.gov.br/ccivil_03/_ato2019-2022/2021/lei/L14133.htm" \l "art161"</w:instrText>
      </w:r>
      <w:r>
        <w:fldChar w:fldCharType="separate"/>
      </w:r>
      <w:r>
        <w:rPr>
          <w:rStyle w:val="style24"/>
          <w:rFonts w:cs="Arial"/>
          <w:bCs/>
        </w:rPr>
        <w:t>Art. 161</w:t>
      </w:r>
      <w:r>
        <w:fldChar w:fldCharType="end"/>
      </w:r>
      <w:r>
        <w:rPr>
          <w:rFonts w:cs="Arial"/>
          <w:bCs/>
        </w:rPr>
        <w:t>)</w:t>
      </w:r>
    </w:p>
    <w:p>
      <w:pPr>
        <w:pStyle w:val="style0"/>
        <w:numPr>
          <w:ilvl w:val="1"/>
          <w:numId w:val="1"/>
        </w:numPr>
        <w:spacing w:after="120" w:before="120" w:line="276" w:lineRule="auto"/>
        <w:ind w:hanging="432" w:left="858" w:right="0"/>
        <w:contextualSpacing w:val="false"/>
        <w:jc w:val="both"/>
        <w:rPr>
          <w:rStyle w:val="style24"/>
          <w:rFonts w:cs="Arial"/>
          <w:bCs/>
        </w:rPr>
      </w:pPr>
      <w:r>
        <w:rPr>
          <w:rFonts w:cs="Arial"/>
          <w:bCs/>
        </w:rPr>
        <w:t xml:space="preserve">As sanções de impedimento de licitar e contratar e declaração de inidoneidade para licitar ou contratar são passíveis de reabilitação na forma do </w:t>
      </w:r>
      <w:r>
        <w:fldChar w:fldCharType="begin"/>
      </w:r>
      <w:r>
        <w:instrText> HYPERLINK "http://www.planalto.gov.br/ccivil_03/_ato2019-2022/2021/lei/L14133.htm" \l "art163"</w:instrText>
      </w:r>
      <w:r>
        <w:fldChar w:fldCharType="separate"/>
      </w:r>
      <w:r>
        <w:rPr>
          <w:rStyle w:val="style24"/>
          <w:rFonts w:cs="Arial"/>
          <w:bCs/>
        </w:rPr>
        <w:t>art. 163 da Lei nº 14.133, de 2021.</w:t>
      </w:r>
      <w:r>
        <w:fldChar w:fldCharType="end"/>
      </w:r>
    </w:p>
    <w:p>
      <w:pPr>
        <w:pStyle w:val="style0"/>
        <w:numPr>
          <w:ilvl w:val="1"/>
          <w:numId w:val="1"/>
        </w:numPr>
        <w:spacing w:after="120" w:before="120" w:line="276" w:lineRule="auto"/>
        <w:ind w:hanging="432" w:left="858" w:right="0"/>
        <w:contextualSpacing w:val="false"/>
        <w:jc w:val="both"/>
        <w:rPr>
          <w:rFonts w:cs="Arial"/>
        </w:rPr>
      </w:pPr>
      <w:r>
        <w:rPr>
          <w:rFonts w:cs="Arial"/>
        </w:rPr>
        <w:t>As sanções por atos praticados no decorrer da contratação estão previstas nos anexos a este Aviso.</w:t>
      </w:r>
    </w:p>
    <w:p>
      <w:pPr>
        <w:pStyle w:val="style0"/>
        <w:spacing w:after="120" w:before="120" w:line="276" w:lineRule="auto"/>
        <w:ind w:hanging="0" w:left="425" w:right="0"/>
        <w:contextualSpacing w:val="false"/>
        <w:jc w:val="both"/>
        <w:rPr>
          <w:rFonts w:cs="Arial"/>
        </w:rPr>
      </w:pPr>
      <w:r>
        <w:rPr>
          <w:rFonts w:cs="Arial"/>
        </w:rPr>
      </w:r>
    </w:p>
    <w:p>
      <w:pPr>
        <w:pStyle w:val="style1"/>
        <w:numPr>
          <w:ilvl w:val="0"/>
          <w:numId w:val="1"/>
        </w:numPr>
        <w:rPr/>
      </w:pPr>
      <w:bookmarkStart w:id="18" w:name="__RefHeading__1215_195451382"/>
      <w:bookmarkStart w:id="19" w:name="_Toc118380907"/>
      <w:bookmarkEnd w:id="18"/>
      <w:bookmarkEnd w:id="19"/>
      <w:r>
        <w:rPr/>
        <w:t>DAS DISPOSIÇÕES GERAIS</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republicar o presente aviso com uma nova data;</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style0"/>
        <w:numPr>
          <w:ilvl w:val="3"/>
          <w:numId w:val="1"/>
        </w:numPr>
        <w:spacing w:after="120" w:before="120" w:line="276" w:lineRule="auto"/>
        <w:contextualSpacing w:val="false"/>
        <w:jc w:val="both"/>
        <w:rPr>
          <w:rFonts w:cs="Arial"/>
          <w:color w:val="000000"/>
          <w:szCs w:val="20"/>
        </w:rPr>
      </w:pPr>
      <w:r>
        <w:rPr>
          <w:rFonts w:cs="Arial"/>
          <w:color w:val="000000"/>
          <w:szCs w:val="20"/>
        </w:rPr>
        <w:t>No caso do subitem anterior, a contratação será operacionalizada fora deste procedimento.</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Da sessão pública será divulgada Ata no sistema eletrônico.</w:t>
      </w:r>
    </w:p>
    <w:p>
      <w:pPr>
        <w:pStyle w:val="style0"/>
        <w:numPr>
          <w:ilvl w:val="1"/>
          <w:numId w:val="1"/>
        </w:numPr>
        <w:spacing w:after="120" w:before="120" w:line="276" w:lineRule="auto"/>
        <w:ind w:hanging="432" w:left="858" w:right="0"/>
        <w:contextualSpacing w:val="false"/>
        <w:jc w:val="both"/>
        <w:rPr>
          <w:rFonts w:cs="Arial"/>
          <w:color w:val="000000"/>
          <w:szCs w:val="20"/>
        </w:rPr>
      </w:pPr>
      <w:r>
        <w:rPr>
          <w:rFonts w:cs="Arial"/>
          <w:color w:val="000000"/>
          <w:szCs w:val="20"/>
        </w:rPr>
        <w:t>Integram este Aviso de Contratação Direta, para todos os fins e efeitos, os seguintes anexos:</w:t>
      </w:r>
    </w:p>
    <w:p>
      <w:pPr>
        <w:pStyle w:val="style0"/>
        <w:numPr>
          <w:ilvl w:val="2"/>
          <w:numId w:val="1"/>
        </w:numPr>
        <w:spacing w:after="120" w:before="120" w:line="276" w:lineRule="auto"/>
        <w:contextualSpacing w:val="false"/>
        <w:jc w:val="both"/>
        <w:rPr>
          <w:rFonts w:cs="Arial"/>
          <w:color w:val="000000"/>
          <w:szCs w:val="20"/>
        </w:rPr>
      </w:pPr>
      <w:r>
        <w:rPr>
          <w:rFonts w:cs="Arial"/>
          <w:color w:val="000000"/>
          <w:szCs w:val="20"/>
        </w:rPr>
        <w:t>ANEXO I – Documentação exigida para Habilitação</w:t>
      </w:r>
    </w:p>
    <w:p>
      <w:pPr>
        <w:pStyle w:val="style0"/>
        <w:spacing w:after="120" w:before="120" w:line="276" w:lineRule="auto"/>
        <w:contextualSpacing w:val="false"/>
        <w:jc w:val="both"/>
        <w:rPr/>
      </w:pPr>
      <w:r>
        <w:rPr/>
      </w:r>
    </w:p>
    <w:p>
      <w:pPr>
        <w:pStyle w:val="style0"/>
        <w:spacing w:after="120" w:before="120" w:line="276" w:lineRule="auto"/>
        <w:contextualSpacing w:val="false"/>
        <w:jc w:val="both"/>
        <w:rPr/>
      </w:pPr>
      <w:r>
        <w:rPr/>
      </w:r>
    </w:p>
    <w:p>
      <w:pPr>
        <w:pStyle w:val="style0"/>
        <w:spacing w:after="120" w:before="120" w:line="276" w:lineRule="auto"/>
        <w:ind w:hanging="0" w:left="1224" w:right="0"/>
        <w:contextualSpacing w:val="false"/>
        <w:jc w:val="both"/>
        <w:rPr>
          <w:rFonts w:cs="Arial"/>
          <w:i/>
          <w:iCs/>
          <w:color w:val="FF0000"/>
          <w:szCs w:val="20"/>
        </w:rPr>
      </w:pPr>
      <w:r>
        <w:rPr>
          <w:rFonts w:cs="Arial"/>
          <w:i/>
          <w:iCs/>
          <w:color w:val="FF0000"/>
          <w:szCs w:val="20"/>
        </w:rPr>
      </w:r>
    </w:p>
    <w:p>
      <w:pPr>
        <w:pStyle w:val="style0"/>
        <w:spacing w:after="120" w:before="0" w:line="276" w:lineRule="auto"/>
        <w:ind w:hanging="0" w:left="360" w:right="-15"/>
        <w:contextualSpacing w:val="false"/>
        <w:jc w:val="both"/>
        <w:rPr>
          <w:rFonts w:cs="Arial"/>
          <w:color w:val="000000"/>
          <w:szCs w:val="20"/>
        </w:rPr>
      </w:pPr>
      <w:r>
        <w:rPr>
          <w:rFonts w:cs="Arial"/>
          <w:color w:val="000000"/>
          <w:szCs w:val="20"/>
        </w:rPr>
      </w:r>
    </w:p>
    <w:p>
      <w:pPr>
        <w:pStyle w:val="style0"/>
        <w:spacing w:after="120" w:before="0" w:line="276" w:lineRule="auto"/>
        <w:ind w:hanging="0" w:left="0" w:right="-15"/>
        <w:contextualSpacing w:val="false"/>
        <w:jc w:val="center"/>
        <w:rPr>
          <w:rFonts w:cs="Arial"/>
          <w:color w:val="000000"/>
          <w:szCs w:val="20"/>
        </w:rPr>
      </w:pPr>
      <w:r>
        <w:rPr>
          <w:rFonts w:cs="Arial"/>
          <w:color w:val="000000"/>
          <w:szCs w:val="20"/>
        </w:rPr>
        <w:t xml:space="preserve">Rio de Janeiro, RJ, </w:t>
      </w:r>
      <w:r>
        <w:rPr>
          <w:rFonts w:cs="Arial" w:eastAsia="Times New Roman"/>
          <w:color w:val="000000"/>
          <w:sz w:val="20"/>
          <w:szCs w:val="20"/>
          <w:lang w:bidi="ar-SA" w:eastAsia="pt-BR" w:val="pt-BR"/>
        </w:rPr>
        <w:t>06</w:t>
      </w:r>
      <w:r>
        <w:rPr>
          <w:rFonts w:cs="Arial"/>
          <w:color w:val="000000"/>
          <w:szCs w:val="20"/>
        </w:rPr>
        <w:t xml:space="preserve"> de </w:t>
      </w:r>
      <w:r>
        <w:rPr>
          <w:rFonts w:cs="Arial" w:eastAsia="Times New Roman"/>
          <w:color w:val="000000"/>
          <w:sz w:val="20"/>
          <w:szCs w:val="20"/>
          <w:lang w:bidi="ar-SA" w:eastAsia="pt-BR" w:val="pt-BR"/>
        </w:rPr>
        <w:t>março</w:t>
      </w:r>
      <w:r>
        <w:rPr>
          <w:rFonts w:cs="Arial"/>
          <w:color w:val="000000"/>
          <w:szCs w:val="20"/>
        </w:rPr>
        <w:t xml:space="preserve"> de 2023.</w:t>
      </w:r>
    </w:p>
    <w:p>
      <w:pPr>
        <w:pStyle w:val="style0"/>
        <w:spacing w:line="276" w:lineRule="auto"/>
        <w:jc w:val="center"/>
        <w:rPr>
          <w:rFonts w:cs="Arial"/>
          <w:b/>
          <w:bCs/>
          <w:iCs/>
          <w:color w:val="000000"/>
          <w:szCs w:val="20"/>
        </w:rPr>
      </w:pPr>
      <w:r>
        <w:rPr>
          <w:rFonts w:cs="Arial"/>
          <w:b/>
          <w:bCs/>
          <w:iCs/>
          <w:color w:val="000000"/>
          <w:szCs w:val="20"/>
        </w:rPr>
        <w:t>Assinatura da autoridade competente</w:t>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t>____________________________________________________</w:t>
      </w:r>
    </w:p>
    <w:p>
      <w:pPr>
        <w:pStyle w:val="style0"/>
        <w:ind w:hanging="0" w:left="357" w:right="0"/>
        <w:jc w:val="center"/>
        <w:rPr>
          <w:rFonts w:ascii="Times New Roman" w:cs="Arial" w:hAnsi="Times New Roman"/>
          <w:b/>
          <w:bCs/>
          <w:sz w:val="22"/>
          <w:szCs w:val="22"/>
        </w:rPr>
      </w:pPr>
      <w:r>
        <w:rPr>
          <w:rFonts w:ascii="Times New Roman" w:cs="Arial" w:hAnsi="Times New Roman"/>
          <w:b/>
          <w:bCs/>
          <w:sz w:val="22"/>
          <w:szCs w:val="22"/>
        </w:rPr>
        <w:t>MARCO ANTÔNIO DE ANDRADE SILVA – Cel</w:t>
      </w:r>
    </w:p>
    <w:p>
      <w:pPr>
        <w:pStyle w:val="style0"/>
        <w:ind w:hanging="0" w:left="357" w:right="0"/>
        <w:jc w:val="center"/>
        <w:rPr>
          <w:rFonts w:ascii="Times New Roman" w:cs="Arial" w:hAnsi="Times New Roman"/>
          <w:b w:val="false"/>
          <w:bCs w:val="false"/>
          <w:sz w:val="22"/>
          <w:szCs w:val="22"/>
          <w:lang w:eastAsia="en-US"/>
        </w:rPr>
      </w:pPr>
      <w:r>
        <w:rPr>
          <w:rFonts w:ascii="Times New Roman" w:cs="Arial" w:hAnsi="Times New Roman"/>
          <w:b w:val="false"/>
          <w:bCs w:val="false"/>
          <w:sz w:val="22"/>
          <w:szCs w:val="22"/>
          <w:lang w:eastAsia="en-US"/>
        </w:rPr>
        <w:t>ORDENADOR DE DESPESAS</w:t>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jc w:val="center"/>
        <w:rPr>
          <w:rFonts w:cs="Arial"/>
          <w:b/>
          <w:bCs/>
          <w:lang w:eastAsia="en-US"/>
        </w:rPr>
      </w:pPr>
      <w:r>
        <w:rPr>
          <w:rFonts w:cs="Arial"/>
          <w:b/>
          <w:bCs/>
          <w:lang w:eastAsia="en-US"/>
        </w:rPr>
      </w:r>
    </w:p>
    <w:p>
      <w:pPr>
        <w:pStyle w:val="style0"/>
        <w:spacing w:after="0" w:before="0" w:line="276" w:lineRule="auto"/>
        <w:contextualSpacing/>
        <w:jc w:val="both"/>
        <w:rPr>
          <w:rFonts w:cs="Arial"/>
          <w:b/>
          <w:szCs w:val="20"/>
          <w:lang w:eastAsia="ar-SA"/>
        </w:rPr>
      </w:pPr>
      <w:r>
        <w:rPr>
          <w:rFonts w:cs="Arial"/>
          <w:b/>
          <w:szCs w:val="20"/>
          <w:lang w:eastAsia="ar-SA"/>
        </w:rPr>
      </w:r>
    </w:p>
    <w:p>
      <w:pPr>
        <w:pStyle w:val="style0"/>
        <w:spacing w:after="0" w:before="0" w:line="276" w:lineRule="auto"/>
        <w:contextualSpacing/>
        <w:jc w:val="both"/>
        <w:rPr>
          <w:rFonts w:cs="Arial"/>
          <w:b/>
          <w:szCs w:val="20"/>
          <w:lang w:eastAsia="ar-SA"/>
        </w:rPr>
      </w:pPr>
      <w:commentRangeStart w:id="19"/>
      <w:r>
        <w:rPr>
          <w:rFonts w:cs="Arial"/>
          <w:b/>
          <w:szCs w:val="20"/>
          <w:lang w:eastAsia="ar-SA"/>
        </w:rPr>
        <w:t>ANEXO I – DOCUMENTAÇÃO EXIGIDA PARA HABILITAÇÃO</w:t>
      </w:r>
      <w:commentRangeEnd w:id="19"/>
      <w:r>
        <w:rPr>
          <w:rFonts w:cs="Arial"/>
          <w:b/>
          <w:szCs w:val="20"/>
          <w:lang w:eastAsia="ar-SA"/>
        </w:rPr>
      </w:r>
      <w:r>
        <w:rPr>
          <w:rFonts w:cs="Arial"/>
          <w:b/>
          <w:szCs w:val="20"/>
          <w:lang w:eastAsia="ar-SA"/>
        </w:rPr>
        <w:commentReference w:id="19"/>
      </w:r>
    </w:p>
    <w:p>
      <w:pPr>
        <w:pStyle w:val="style0"/>
        <w:spacing w:after="0" w:before="0" w:line="276" w:lineRule="auto"/>
        <w:contextualSpacing/>
        <w:jc w:val="both"/>
        <w:rPr>
          <w:rFonts w:cs="Arial" w:eastAsia="Calibri"/>
          <w:iCs/>
          <w:szCs w:val="20"/>
          <w:lang w:eastAsia="en-US"/>
        </w:rPr>
      </w:pPr>
      <w:r>
        <w:rPr>
          <w:rFonts w:cs="Arial" w:eastAsia="Calibri"/>
          <w:iCs/>
          <w:szCs w:val="20"/>
          <w:lang w:eastAsia="en-US"/>
        </w:rPr>
      </w:r>
    </w:p>
    <w:p>
      <w:pPr>
        <w:pStyle w:val="style121"/>
        <w:spacing w:after="120" w:before="120" w:line="276" w:lineRule="auto"/>
        <w:ind w:hanging="0" w:left="1145" w:right="0"/>
        <w:contextualSpacing/>
        <w:jc w:val="both"/>
        <w:rPr>
          <w:rFonts w:cs="Arial" w:eastAsia="WenQuanYi Micro Hei"/>
          <w:color w:val="000000"/>
          <w:szCs w:val="20"/>
          <w:lang w:bidi="hi-IN" w:eastAsia="zh-CN"/>
        </w:rPr>
      </w:pPr>
      <w:r>
        <w:rPr>
          <w:rFonts w:cs="Arial" w:eastAsia="WenQuanYi Micro Hei"/>
          <w:color w:val="000000"/>
          <w:szCs w:val="20"/>
          <w:lang w:bidi="hi-IN" w:eastAsia="zh-CN"/>
        </w:rPr>
      </w:r>
    </w:p>
    <w:p>
      <w:pPr>
        <w:pStyle w:val="style121"/>
        <w:numPr>
          <w:ilvl w:val="0"/>
          <w:numId w:val="6"/>
        </w:numPr>
        <w:spacing w:after="120" w:before="120" w:line="276" w:lineRule="auto"/>
        <w:ind w:hanging="360" w:left="1865" w:right="0"/>
        <w:contextualSpacing/>
        <w:jc w:val="both"/>
        <w:rPr>
          <w:rFonts w:cs="Arial" w:eastAsia="WenQuanYi Micro Hei"/>
          <w:color w:val="000000"/>
          <w:szCs w:val="20"/>
          <w:lang w:bidi="hi-IN" w:eastAsia="zh-CN"/>
        </w:rPr>
      </w:pPr>
      <w:r>
        <w:rPr>
          <w:rFonts w:cs="Arial" w:eastAsia="WenQuanYi Micro Hei"/>
          <w:color w:val="000000"/>
          <w:szCs w:val="20"/>
          <w:lang w:bidi="hi-IN" w:eastAsia="zh-CN"/>
        </w:rPr>
        <w:t>As exigências de habilitação a serem atendidas pelo fornecedor são aquelas discriminadas nos itens a seguir:</w:t>
      </w:r>
    </w:p>
    <w:p>
      <w:pPr>
        <w:pStyle w:val="style121"/>
        <w:spacing w:after="120" w:before="120" w:line="276" w:lineRule="auto"/>
        <w:ind w:hanging="0" w:left="1145" w:right="0"/>
        <w:contextualSpacing/>
        <w:jc w:val="both"/>
        <w:rPr>
          <w:rFonts w:cs="Arial" w:eastAsia="WenQuanYi Micro Hei"/>
          <w:color w:val="000000"/>
          <w:szCs w:val="20"/>
          <w:lang w:bidi="hi-IN" w:eastAsia="zh-CN"/>
        </w:rPr>
      </w:pPr>
      <w:r>
        <w:rPr>
          <w:rFonts w:cs="Arial" w:eastAsia="WenQuanYi Micro Hei"/>
          <w:color w:val="000000"/>
          <w:szCs w:val="20"/>
          <w:lang w:bidi="hi-IN" w:eastAsia="zh-CN"/>
        </w:rPr>
      </w:r>
    </w:p>
    <w:p>
      <w:pPr>
        <w:pStyle w:val="style121"/>
        <w:numPr>
          <w:ilvl w:val="1"/>
          <w:numId w:val="5"/>
        </w:numPr>
        <w:spacing w:after="120" w:before="120" w:line="276" w:lineRule="auto"/>
        <w:contextualSpacing/>
        <w:jc w:val="both"/>
        <w:rPr>
          <w:rFonts w:cs="Arial" w:eastAsia="WenQuanYi Micro Hei"/>
          <w:b/>
          <w:bCs/>
          <w:color w:val="000000"/>
          <w:szCs w:val="20"/>
          <w:lang w:bidi="hi-IN" w:eastAsia="zh-CN"/>
        </w:rPr>
      </w:pPr>
      <w:r>
        <w:rPr>
          <w:rFonts w:cs="Arial" w:eastAsia="WenQuanYi Micro Hei"/>
          <w:b/>
          <w:bCs/>
          <w:color w:val="000000"/>
          <w:szCs w:val="20"/>
          <w:lang w:bidi="hi-IN" w:eastAsia="zh-CN"/>
        </w:rPr>
        <w:t>Habilitação jurídica</w:t>
      </w:r>
    </w:p>
    <w:p>
      <w:pPr>
        <w:pStyle w:val="style121"/>
        <w:spacing w:after="120" w:before="120" w:line="276" w:lineRule="auto"/>
        <w:ind w:firstLine="11" w:left="1134" w:right="0"/>
        <w:contextualSpacing/>
        <w:jc w:val="both"/>
        <w:rPr>
          <w:rFonts w:cs="Arial" w:eastAsia="Calibri"/>
          <w:i/>
          <w:color w:val="FF0000"/>
          <w:szCs w:val="20"/>
          <w:lang w:eastAsia="en-US"/>
        </w:rPr>
      </w:pPr>
      <w:r>
        <w:rPr>
          <w:rFonts w:cs="Arial" w:eastAsia="Calibri"/>
          <w:i/>
          <w:color w:val="FF0000"/>
          <w:szCs w:val="20"/>
          <w:lang w:eastAsia="en-US"/>
        </w:rPr>
      </w:r>
    </w:p>
    <w:p>
      <w:pPr>
        <w:pStyle w:val="style121"/>
        <w:numPr>
          <w:ilvl w:val="2"/>
          <w:numId w:val="5"/>
        </w:numPr>
        <w:tabs>
          <w:tab w:leader="none" w:pos="1440" w:val="left"/>
        </w:tabs>
        <w:spacing w:after="120" w:before="120" w:line="276" w:lineRule="auto"/>
        <w:contextualSpacing/>
        <w:jc w:val="both"/>
        <w:rPr>
          <w:rFonts w:cs="Arial"/>
          <w:i/>
          <w:szCs w:val="20"/>
        </w:rPr>
      </w:pPr>
      <w:commentRangeStart w:id="20"/>
      <w:r>
        <w:rPr>
          <w:rFonts w:cs="Arial"/>
          <w:b/>
          <w:i w:val="false"/>
          <w:iCs w:val="false"/>
          <w:szCs w:val="20"/>
        </w:rPr>
        <w:t>Pessoa física:</w:t>
      </w:r>
      <w:r>
        <w:rPr>
          <w:rFonts w:cs="Arial"/>
          <w:i w:val="false"/>
          <w:iCs w:val="false"/>
          <w:szCs w:val="20"/>
        </w:rPr>
        <w:t xml:space="preserve"> cédula de identidade (RG) ou documento equivalente que, por força de lei, tenha validade para fins de identificação em todo o território nacional;</w:t>
      </w:r>
      <w:r>
        <w:rPr>
          <w:rFonts w:cs="Arial"/>
          <w:i/>
          <w:szCs w:val="20"/>
        </w:rPr>
        <w:t xml:space="preserve">  </w:t>
      </w:r>
      <w:commentRangeEnd w:id="20"/>
      <w:r>
        <w:rPr>
          <w:rFonts w:cs="Arial"/>
          <w:i/>
          <w:szCs w:val="20"/>
        </w:rPr>
      </w:r>
      <w:r>
        <w:rPr>
          <w:rFonts w:cs="Arial"/>
          <w:i/>
          <w:szCs w:val="20"/>
        </w:rPr>
        <w:commentReference w:id="20"/>
      </w:r>
    </w:p>
    <w:p>
      <w:pPr>
        <w:pStyle w:val="style121"/>
        <w:numPr>
          <w:ilvl w:val="2"/>
          <w:numId w:val="5"/>
        </w:numPr>
        <w:tabs>
          <w:tab w:leader="none" w:pos="1440" w:val="left"/>
        </w:tabs>
        <w:spacing w:after="120" w:before="120" w:line="276" w:lineRule="auto"/>
        <w:contextualSpacing/>
        <w:jc w:val="both"/>
        <w:rPr>
          <w:rFonts w:cs="Arial"/>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pPr>
        <w:pStyle w:val="style121"/>
        <w:numPr>
          <w:ilvl w:val="2"/>
          <w:numId w:val="5"/>
        </w:numPr>
        <w:tabs>
          <w:tab w:leader="none" w:pos="1440" w:val="left"/>
        </w:tabs>
        <w:spacing w:after="120" w:before="120" w:line="276" w:lineRule="auto"/>
        <w:contextualSpacing/>
        <w:jc w:val="both"/>
        <w:rPr>
          <w:rFonts w:cs="Arial"/>
          <w:szCs w:val="20"/>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18">
        <w:r>
          <w:rPr>
            <w:rStyle w:val="style24"/>
            <w:rFonts w:cs="Arial"/>
            <w:szCs w:val="20"/>
          </w:rPr>
          <w:t>https://www.gov.br/empresas-e-negocios/pt-br/empreendedor</w:t>
        </w:r>
      </w:hyperlink>
      <w:r>
        <w:rPr>
          <w:rFonts w:cs="Arial"/>
          <w:szCs w:val="20"/>
        </w:rPr>
        <w:t>;</w:t>
      </w:r>
    </w:p>
    <w:p>
      <w:pPr>
        <w:pStyle w:val="style121"/>
        <w:numPr>
          <w:ilvl w:val="2"/>
          <w:numId w:val="5"/>
        </w:numPr>
        <w:tabs>
          <w:tab w:leader="none" w:pos="1440" w:val="left"/>
        </w:tabs>
        <w:spacing w:after="120" w:before="120" w:line="276" w:lineRule="auto"/>
        <w:contextualSpacing/>
        <w:jc w:val="both"/>
        <w:rPr>
          <w:rFonts w:cs="Arial"/>
          <w:color w:val="000000"/>
          <w:szCs w:val="20"/>
        </w:rPr>
      </w:pPr>
      <w:commentRangeStart w:id="21"/>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commentRangeEnd w:id="21"/>
      <w:r>
        <w:rPr>
          <w:rFonts w:cs="Arial"/>
          <w:color w:val="000000"/>
          <w:szCs w:val="20"/>
        </w:rPr>
      </w:r>
      <w:r>
        <w:rPr>
          <w:rFonts w:cs="Arial"/>
          <w:color w:val="000000"/>
          <w:szCs w:val="20"/>
        </w:rPr>
        <w:commentReference w:id="21"/>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style121"/>
        <w:numPr>
          <w:ilvl w:val="2"/>
          <w:numId w:val="5"/>
        </w:numPr>
        <w:tabs>
          <w:tab w:leader="none" w:pos="1440" w:val="left"/>
        </w:tabs>
        <w:spacing w:after="120" w:before="120" w:line="276" w:lineRule="auto"/>
        <w:contextualSpacing/>
        <w:jc w:val="both"/>
        <w:rPr>
          <w:rFonts w:cs="Arial"/>
          <w:i/>
          <w:iCs/>
          <w:color w:val="FF0000"/>
          <w:szCs w:val="20"/>
        </w:rPr>
      </w:pPr>
      <w:commentRangeStart w:id="22"/>
      <w:r>
        <w:rPr>
          <w:rFonts w:cs="Arial"/>
          <w:b/>
          <w:i w:val="false"/>
          <w:iCs w:val="false"/>
          <w:color w:val="000000"/>
          <w:szCs w:val="20"/>
        </w:rPr>
        <w:t>Ato de autorização</w:t>
      </w:r>
      <w:r>
        <w:rPr>
          <w:rFonts w:cs="Arial"/>
          <w:i w:val="false"/>
          <w:iCs w:val="false"/>
          <w:color w:val="000000"/>
          <w:szCs w:val="20"/>
        </w:rPr>
        <w:t xml:space="preserve"> para o exercício da atividade de ............ (especificar a atividade contratada sujeita à autorização), expedido por ....... (especificar o órgão competente) nos termos do art. ..... da (Lei/Decreto) n° .......</w:t>
      </w:r>
      <w:r>
        <w:rPr>
          <w:rFonts w:cs="Arial"/>
          <w:i/>
          <w:iCs/>
          <w:color w:val="FF0000"/>
          <w:szCs w:val="20"/>
        </w:rPr>
        <w:t>.</w:t>
      </w:r>
      <w:commentRangeEnd w:id="22"/>
      <w:r>
        <w:rPr>
          <w:rFonts w:cs="Arial"/>
          <w:i/>
          <w:iCs/>
          <w:color w:val="FF0000"/>
          <w:szCs w:val="20"/>
        </w:rPr>
      </w:r>
      <w:r>
        <w:rPr>
          <w:rFonts w:cs="Arial"/>
          <w:i/>
          <w:iCs/>
          <w:color w:val="FF0000"/>
          <w:szCs w:val="20"/>
        </w:rPr>
        <w:commentReference w:id="22"/>
      </w:r>
    </w:p>
    <w:p>
      <w:pPr>
        <w:pStyle w:val="style121"/>
        <w:numPr>
          <w:ilvl w:val="2"/>
          <w:numId w:val="5"/>
        </w:numPr>
        <w:tabs>
          <w:tab w:leader="none" w:pos="1440" w:val="left"/>
        </w:tabs>
        <w:spacing w:after="120" w:before="120" w:line="276" w:lineRule="auto"/>
        <w:contextualSpacing/>
        <w:jc w:val="both"/>
        <w:rPr>
          <w:rFonts w:cs="Arial"/>
          <w:bCs/>
          <w:color w:val="000000"/>
          <w:szCs w:val="20"/>
        </w:rPr>
      </w:pPr>
      <w:r>
        <w:rPr>
          <w:rFonts w:cs="Arial"/>
          <w:bCs/>
          <w:color w:val="000000"/>
          <w:szCs w:val="20"/>
        </w:rPr>
        <w:t>Os documentos apresentados deverão estar acompanhados de todas as alterações ou da consolidação respectiva.</w:t>
      </w:r>
    </w:p>
    <w:p>
      <w:pPr>
        <w:pStyle w:val="style121"/>
        <w:numPr>
          <w:ilvl w:val="1"/>
          <w:numId w:val="5"/>
        </w:numPr>
        <w:spacing w:after="120" w:before="120" w:line="276" w:lineRule="auto"/>
        <w:contextualSpacing/>
        <w:jc w:val="both"/>
        <w:rPr>
          <w:rFonts w:cs="Arial" w:eastAsia="WenQuanYi Micro Hei"/>
          <w:b/>
          <w:bCs/>
          <w:color w:val="000000"/>
          <w:szCs w:val="20"/>
          <w:lang w:bidi="hi-IN" w:eastAsia="zh-CN"/>
        </w:rPr>
      </w:pPr>
      <w:r>
        <w:rPr>
          <w:rFonts w:cs="Arial" w:eastAsia="WenQuanYi Micro Hei"/>
          <w:b/>
          <w:bCs/>
          <w:color w:val="000000"/>
          <w:szCs w:val="20"/>
          <w:lang w:bidi="hi-IN" w:eastAsia="zh-CN"/>
        </w:rPr>
        <w:t>Habilitações fiscal, social e trabalhista:</w:t>
      </w:r>
    </w:p>
    <w:p>
      <w:pPr>
        <w:pStyle w:val="style121"/>
        <w:numPr>
          <w:ilvl w:val="2"/>
          <w:numId w:val="5"/>
        </w:numPr>
        <w:tabs>
          <w:tab w:leader="none" w:pos="1440" w:val="left"/>
        </w:tabs>
        <w:spacing w:after="120" w:before="120" w:line="276" w:lineRule="auto"/>
        <w:contextualSpacing/>
        <w:jc w:val="both"/>
        <w:rPr>
          <w:rFonts w:cs="Arial"/>
          <w:i w:val="false"/>
          <w:iCs w:val="false"/>
          <w:szCs w:val="20"/>
        </w:rPr>
      </w:pPr>
      <w:commentRangeStart w:id="23"/>
      <w:r>
        <w:rPr>
          <w:rFonts w:cs="Arial"/>
          <w:i w:val="false"/>
          <w:iCs w:val="false"/>
          <w:szCs w:val="20"/>
        </w:rPr>
        <w:t>prova de inscrição no Cadastro de Pessoas Físicas (CPF);</w:t>
      </w:r>
      <w:commentRangeEnd w:id="23"/>
      <w:r>
        <w:rPr>
          <w:rFonts w:cs="Arial"/>
          <w:i w:val="false"/>
          <w:iCs w:val="false"/>
          <w:szCs w:val="20"/>
        </w:rPr>
      </w:r>
      <w:r>
        <w:rPr>
          <w:rFonts w:cs="Arial"/>
          <w:i w:val="false"/>
          <w:iCs w:val="false"/>
          <w:szCs w:val="20"/>
        </w:rPr>
        <w:commentReference w:id="23"/>
      </w:r>
    </w:p>
    <w:p>
      <w:pPr>
        <w:pStyle w:val="style121"/>
        <w:numPr>
          <w:ilvl w:val="2"/>
          <w:numId w:val="5"/>
        </w:numPr>
        <w:tabs>
          <w:tab w:leader="none" w:pos="1440" w:val="left"/>
        </w:tabs>
        <w:spacing w:after="120" w:before="120" w:line="276" w:lineRule="auto"/>
        <w:contextualSpacing/>
        <w:jc w:val="both"/>
        <w:rPr>
          <w:rFonts w:cs="Arial"/>
          <w:szCs w:val="20"/>
        </w:rPr>
      </w:pPr>
      <w:r>
        <w:rPr>
          <w:rFonts w:cs="Arial"/>
          <w:szCs w:val="20"/>
        </w:rPr>
        <w:t>prova de inscrição no Cadastro Nacional da Pessoa Jurídica (CNPJ);</w:t>
      </w:r>
    </w:p>
    <w:p>
      <w:pPr>
        <w:pStyle w:val="style121"/>
        <w:numPr>
          <w:ilvl w:val="2"/>
          <w:numId w:val="5"/>
        </w:numPr>
        <w:tabs>
          <w:tab w:leader="none" w:pos="1440" w:val="left"/>
        </w:tabs>
        <w:spacing w:after="120" w:before="120" w:line="276" w:lineRule="auto"/>
        <w:contextualSpacing/>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pPr>
        <w:pStyle w:val="style121"/>
        <w:numPr>
          <w:ilvl w:val="2"/>
          <w:numId w:val="5"/>
        </w:numPr>
        <w:tabs>
          <w:tab w:leader="none" w:pos="1440" w:val="left"/>
        </w:tabs>
        <w:spacing w:after="120" w:before="120" w:line="276" w:lineRule="auto"/>
        <w:contextualSpacing/>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pPr>
        <w:pStyle w:val="style121"/>
        <w:numPr>
          <w:ilvl w:val="2"/>
          <w:numId w:val="5"/>
        </w:numPr>
        <w:tabs>
          <w:tab w:leader="none" w:pos="1440" w:val="left"/>
        </w:tabs>
        <w:spacing w:after="120" w:before="120" w:line="276" w:lineRule="auto"/>
        <w:contextualSpacing/>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style121"/>
        <w:numPr>
          <w:ilvl w:val="2"/>
          <w:numId w:val="5"/>
        </w:numPr>
        <w:tabs>
          <w:tab w:leader="none" w:pos="1440" w:val="left"/>
        </w:tabs>
        <w:spacing w:after="120" w:before="120" w:line="276" w:lineRule="auto"/>
        <w:contextualSpacing/>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val="false"/>
          <w:iCs w:val="false"/>
          <w:color w:val="000000"/>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pPr>
        <w:pStyle w:val="style121"/>
        <w:numPr>
          <w:ilvl w:val="3"/>
          <w:numId w:val="5"/>
        </w:numPr>
        <w:spacing w:after="120" w:before="120" w:line="276" w:lineRule="auto"/>
        <w:contextualSpacing/>
        <w:jc w:val="both"/>
        <w:rPr>
          <w:rFonts w:cs="Arial"/>
          <w:bCs/>
          <w:szCs w:val="20"/>
        </w:rPr>
      </w:pPr>
      <w:commentRangeStart w:id="24"/>
      <w:r>
        <w:rPr>
          <w:rFonts w:cs="Arial"/>
          <w:bCs/>
          <w:szCs w:val="20"/>
        </w:rPr>
        <w:t xml:space="preserve">O fornecedor enquadrado como microempreendedor individual que pretenda auferir os benefícios do tratamento diferenciado previstos na </w:t>
      </w:r>
      <w:hyperlink r:id="rId19">
        <w:r>
          <w:rPr>
            <w:rStyle w:val="style24"/>
            <w:rFonts w:cs="Arial"/>
            <w:bCs/>
            <w:szCs w:val="20"/>
          </w:rPr>
          <w:t>Lei Complementar n. 123, de 2006</w:t>
        </w:r>
      </w:hyperlink>
      <w:r>
        <w:rPr>
          <w:rFonts w:cs="Arial"/>
          <w:bCs/>
          <w:szCs w:val="20"/>
        </w:rPr>
        <w:t>, estará dispensado da prova de inscrição nos cadastros de contribuintes estadual e municipal.</w:t>
      </w:r>
      <w:commentRangeEnd w:id="24"/>
      <w:r>
        <w:rPr>
          <w:rFonts w:cs="Arial"/>
          <w:bCs/>
          <w:szCs w:val="20"/>
        </w:rPr>
      </w:r>
      <w:r>
        <w:rPr>
          <w:rFonts w:cs="Arial"/>
          <w:bCs/>
          <w:szCs w:val="20"/>
        </w:rPr>
        <w:commentReference w:id="24"/>
      </w:r>
    </w:p>
    <w:p>
      <w:pPr>
        <w:pStyle w:val="style121"/>
        <w:numPr>
          <w:ilvl w:val="2"/>
          <w:numId w:val="5"/>
        </w:numPr>
        <w:tabs>
          <w:tab w:leader="none" w:pos="1440" w:val="left"/>
        </w:tabs>
        <w:spacing w:after="120" w:before="120" w:line="276" w:lineRule="auto"/>
        <w:contextualSpacing/>
        <w:jc w:val="both"/>
        <w:rPr>
          <w:rFonts w:cs="Arial"/>
          <w:szCs w:val="20"/>
        </w:rPr>
      </w:pPr>
      <w:commentRangeStart w:id="25"/>
      <w:r>
        <w:rPr>
          <w:rFonts w:cs="Arial"/>
          <w:szCs w:val="20"/>
        </w:rPr>
        <w:t xml:space="preserve">prova de </w:t>
      </w:r>
      <w:r>
        <w:rPr>
          <w:rFonts w:cs="Arial"/>
          <w:bCs/>
          <w:szCs w:val="20"/>
        </w:rPr>
        <w:t>regularidade</w:t>
      </w:r>
      <w:r>
        <w:rPr>
          <w:rFonts w:cs="Arial"/>
          <w:szCs w:val="20"/>
        </w:rPr>
        <w:t xml:space="preserve"> com a Fazenda </w:t>
      </w:r>
      <w:r>
        <w:rPr>
          <w:rFonts w:cs="Arial"/>
          <w:i w:val="false"/>
          <w:iCs w:val="false"/>
          <w:color w:val="000000"/>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pPr>
        <w:pStyle w:val="style121"/>
        <w:numPr>
          <w:ilvl w:val="3"/>
          <w:numId w:val="5"/>
        </w:numPr>
        <w:spacing w:after="120" w:before="120" w:line="276" w:lineRule="auto"/>
        <w:contextualSpacing/>
        <w:jc w:val="both"/>
        <w:rPr>
          <w:rFonts w:cs="Arial"/>
          <w:szCs w:val="20"/>
        </w:rPr>
      </w:pPr>
      <w:r>
        <w:rPr>
          <w:rFonts w:cs="Arial"/>
          <w:szCs w:val="20"/>
        </w:rPr>
        <w:t xml:space="preserve">caso o fornecedor seja considerado isento dos tributos </w:t>
      </w:r>
      <w:r>
        <w:rPr>
          <w:rFonts w:cs="Arial"/>
          <w:i w:val="false"/>
          <w:iCs w:val="false"/>
          <w:color w:val="000000"/>
          <w:szCs w:val="20"/>
        </w:rPr>
        <w:t>estaduais/municipais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25"/>
      <w:r>
        <w:rPr>
          <w:rFonts w:cs="Arial"/>
          <w:szCs w:val="20"/>
        </w:rPr>
      </w:r>
      <w:r>
        <w:rPr>
          <w:rFonts w:cs="Arial"/>
          <w:szCs w:val="20"/>
        </w:rPr>
        <w:commentReference w:id="25"/>
      </w:r>
    </w:p>
    <w:p>
      <w:pPr>
        <w:pStyle w:val="style121"/>
        <w:ind w:hanging="0" w:left="360" w:right="0"/>
        <w:rPr>
          <w:rFonts w:cs="Arial" w:eastAsia="WenQuanYi Micro Hei"/>
          <w:color w:val="000000"/>
          <w:szCs w:val="20"/>
          <w:shd w:fill="00FF00" w:val="clear"/>
          <w:lang w:bidi="hi-IN" w:eastAsia="zh-CN"/>
        </w:rPr>
      </w:pPr>
      <w:r>
        <w:rPr>
          <w:rFonts w:cs="Arial" w:eastAsia="WenQuanYi Micro Hei"/>
          <w:color w:val="000000"/>
          <w:szCs w:val="20"/>
          <w:shd w:fill="00FF00" w:val="clear"/>
          <w:lang w:bidi="hi-IN" w:eastAsia="zh-CN"/>
        </w:rPr>
      </w:r>
    </w:p>
    <w:p>
      <w:pPr>
        <w:pStyle w:val="style121"/>
        <w:numPr>
          <w:ilvl w:val="1"/>
          <w:numId w:val="5"/>
        </w:numPr>
        <w:spacing w:after="120" w:before="120" w:line="276" w:lineRule="auto"/>
        <w:contextualSpacing/>
        <w:jc w:val="both"/>
        <w:rPr>
          <w:rFonts w:cs="Arial" w:eastAsia="WenQuanYi Micro Hei"/>
          <w:b/>
          <w:bCs/>
          <w:color w:val="000000"/>
          <w:szCs w:val="20"/>
          <w:lang w:bidi="hi-IN" w:eastAsia="zh-CN"/>
        </w:rPr>
      </w:pPr>
      <w:commentRangeStart w:id="26"/>
      <w:r>
        <w:rPr>
          <w:rFonts w:cs="Arial"/>
          <w:b/>
          <w:bCs/>
          <w:color w:val="000000"/>
          <w:szCs w:val="20"/>
        </w:rPr>
        <w:t>Habilitação econômico-financeira</w:t>
      </w:r>
      <w:r>
        <w:rPr>
          <w:rFonts w:cs="Arial" w:eastAsia="WenQuanYi Micro Hei"/>
          <w:b/>
          <w:bCs/>
          <w:color w:val="000000"/>
          <w:szCs w:val="20"/>
          <w:lang w:bidi="hi-IN" w:eastAsia="zh-CN"/>
        </w:rPr>
        <w:t xml:space="preserve">: </w:t>
      </w:r>
      <w:commentRangeEnd w:id="26"/>
      <w:r>
        <w:rPr>
          <w:rFonts w:cs="Arial" w:eastAsia="WenQuanYi Micro Hei"/>
          <w:b/>
          <w:bCs/>
          <w:color w:val="000000"/>
          <w:szCs w:val="20"/>
          <w:lang w:bidi="hi-IN" w:eastAsia="zh-CN"/>
        </w:rPr>
      </w:r>
      <w:r>
        <w:rPr>
          <w:rFonts w:cs="Arial" w:eastAsia="WenQuanYi Micro Hei"/>
          <w:b/>
          <w:bCs/>
          <w:color w:val="000000"/>
          <w:szCs w:val="20"/>
          <w:lang w:bidi="hi-IN" w:eastAsia="zh-CN"/>
        </w:rPr>
        <w:commentReference w:id="26"/>
      </w:r>
    </w:p>
    <w:p>
      <w:pPr>
        <w:pStyle w:val="style121"/>
        <w:numPr>
          <w:ilvl w:val="2"/>
          <w:numId w:val="5"/>
        </w:numPr>
        <w:tabs>
          <w:tab w:leader="none" w:pos="1440" w:val="left"/>
        </w:tabs>
        <w:spacing w:after="120" w:before="120" w:line="276" w:lineRule="auto"/>
        <w:contextualSpacing/>
        <w:jc w:val="both"/>
        <w:rPr>
          <w:rFonts w:cs="Arial"/>
          <w:i/>
          <w:iCs/>
          <w:color w:val="000000"/>
          <w:szCs w:val="20"/>
        </w:rPr>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r>
        <w:fldChar w:fldCharType="begin"/>
      </w:r>
      <w:r>
        <w:instrText> HYPERLINK "https://in.gov.br/en/web/dou/-/instrucao-normativa-seges/me-n-116-de-21-de-dezembro-de-2021-370926958" \l "art5"</w:instrText>
      </w:r>
      <w:r>
        <w:fldChar w:fldCharType="separate"/>
      </w:r>
      <w:r>
        <w:rPr>
          <w:rStyle w:val="style24"/>
          <w:rFonts w:cs="Arial"/>
          <w:i/>
          <w:iCs/>
          <w:color w:val="000000"/>
          <w:szCs w:val="20"/>
        </w:rPr>
        <w:t>(art. 5º, inciso II, alínea “c”, da IN Seges/ME nº 116/2021</w:t>
      </w:r>
      <w:r>
        <w:fldChar w:fldCharType="end"/>
      </w:r>
      <w:r>
        <w:rPr>
          <w:rFonts w:cs="Arial"/>
          <w:i/>
          <w:iCs/>
          <w:color w:val="000000"/>
          <w:szCs w:val="20"/>
        </w:rPr>
        <w:t xml:space="preserve">) ou de sociedade simples; </w:t>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color w:val="000000"/>
          <w:szCs w:val="20"/>
        </w:rPr>
        <w:t>certidão negativa de falência expedida pelo distribuidor da sede do fornecedor;</w:t>
      </w:r>
    </w:p>
    <w:p>
      <w:pPr>
        <w:pStyle w:val="style121"/>
        <w:numPr>
          <w:ilvl w:val="2"/>
          <w:numId w:val="5"/>
        </w:numPr>
        <w:tabs>
          <w:tab w:leader="none" w:pos="1440" w:val="left"/>
        </w:tabs>
        <w:spacing w:after="120" w:before="120" w:line="276" w:lineRule="auto"/>
        <w:contextualSpacing/>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pPr>
        <w:pStyle w:val="style121"/>
        <w:numPr>
          <w:ilvl w:val="3"/>
          <w:numId w:val="5"/>
        </w:numPr>
        <w:spacing w:after="120" w:before="120" w:line="276" w:lineRule="auto"/>
        <w:contextualSpacing/>
        <w:jc w:val="both"/>
        <w:rPr>
          <w:rFonts w:cs="Arial"/>
          <w:szCs w:val="20"/>
        </w:rPr>
      </w:pPr>
      <w:r>
        <w:rPr>
          <w:rFonts w:cs="Arial"/>
          <w:szCs w:val="20"/>
        </w:rPr>
        <w:t>Os documentos referidos no subitem acima limitar-se-ão ao último exercício social, caso a empresa tenha sido constituída há menos de 2 (dois) anos;</w:t>
      </w:r>
    </w:p>
    <w:p>
      <w:pPr>
        <w:pStyle w:val="style121"/>
        <w:numPr>
          <w:ilvl w:val="3"/>
          <w:numId w:val="5"/>
        </w:numPr>
        <w:spacing w:after="120" w:before="120" w:line="276" w:lineRule="auto"/>
        <w:contextualSpacing/>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pPr>
        <w:pStyle w:val="style121"/>
        <w:numPr>
          <w:ilvl w:val="3"/>
          <w:numId w:val="5"/>
        </w:numPr>
        <w:spacing w:after="120" w:before="120" w:line="276" w:lineRule="auto"/>
        <w:contextualSpacing/>
        <w:jc w:val="both"/>
        <w:rPr>
          <w:rFonts w:cs="Arial"/>
          <w:szCs w:val="20"/>
        </w:rPr>
      </w:pPr>
      <w:commentRangeStart w:id="27"/>
      <w:r>
        <w:rPr>
          <w:rFonts w:cs="Arial"/>
          <w:szCs w:val="20"/>
        </w:rPr>
        <w:t>É admissível o balanço intermediário, se decorrer de lei ou do contrato/estatuto social.</w:t>
      </w:r>
      <w:commentRangeEnd w:id="27"/>
      <w:r>
        <w:rPr>
          <w:rFonts w:cs="Arial"/>
          <w:szCs w:val="20"/>
        </w:rPr>
      </w:r>
      <w:r>
        <w:rPr>
          <w:rFonts w:cs="Arial"/>
          <w:szCs w:val="20"/>
        </w:rPr>
        <w:commentReference w:id="27"/>
      </w:r>
    </w:p>
    <w:p>
      <w:pPr>
        <w:pStyle w:val="style0"/>
        <w:numPr>
          <w:ilvl w:val="2"/>
          <w:numId w:val="5"/>
        </w:numPr>
        <w:spacing w:after="120" w:before="120" w:line="276" w:lineRule="auto"/>
        <w:contextualSpacing w:val="false"/>
        <w:jc w:val="both"/>
        <w:rPr>
          <w:i/>
          <w:color w:val="000000"/>
          <w:szCs w:val="20"/>
        </w:rPr>
      </w:pPr>
      <w:r>
        <w:rPr>
          <w:i/>
          <w:color w:val="000000"/>
          <w:szCs w:val="20"/>
        </w:rPr>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r>
        <w:fldChar w:fldCharType="begin"/>
      </w:r>
      <w:r>
        <w:instrText> HYPERLINK "https://www.planalto.gov.br/ccivil_03/leis/l5764.htm" \l ":~:text=LEI Nº 5.764%2C DE 16,cooperativas%2C e dá outras providências"</w:instrText>
      </w:r>
      <w:r>
        <w:fldChar w:fldCharType="separate"/>
      </w:r>
      <w:r>
        <w:rPr>
          <w:rStyle w:val="style24"/>
          <w:i/>
          <w:color w:val="000000"/>
          <w:szCs w:val="20"/>
        </w:rPr>
        <w:t>artigo 112 da Lei nº 5.764, de 1971</w:t>
      </w:r>
      <w:r>
        <w:fldChar w:fldCharType="end"/>
      </w:r>
      <w:r>
        <w:rPr>
          <w:i/>
          <w:color w:val="000000"/>
          <w:szCs w:val="20"/>
        </w:rPr>
        <w:t>, ou de uma declaração, sob as penas da lei, de que tal auditoria não foi exigida pelo órgão fiscalizador.</w:t>
      </w:r>
    </w:p>
    <w:p>
      <w:pPr>
        <w:pStyle w:val="style121"/>
        <w:numPr>
          <w:ilvl w:val="2"/>
          <w:numId w:val="5"/>
        </w:numPr>
        <w:tabs>
          <w:tab w:leader="none" w:pos="1440" w:val="left"/>
        </w:tabs>
        <w:spacing w:after="120" w:before="120" w:line="276" w:lineRule="auto"/>
        <w:contextualSpacing/>
        <w:jc w:val="both"/>
        <w:rPr>
          <w:rFonts w:cs="Arial"/>
          <w:color w:val="FF0000"/>
          <w:szCs w:val="20"/>
        </w:rPr>
      </w:pPr>
      <w:commentRangeStart w:id="28"/>
      <w:r>
        <w:rPr>
          <w:rFonts w:cs="Arial"/>
          <w:color w:val="000000"/>
          <w:szCs w:val="20"/>
        </w:rPr>
        <w:t xml:space="preserve">Além dos documentos acima, deverá ser comprovada a boa situação financeira da empresa, mediante obtenção do(s) índice(s) </w:t>
      </w:r>
      <w:r>
        <w:rPr>
          <w:rFonts w:cs="Arial"/>
          <w:color w:val="FF0000"/>
          <w:szCs w:val="20"/>
        </w:rPr>
        <w:t>(....),</w:t>
      </w:r>
      <w:r>
        <w:rPr>
          <w:rFonts w:cs="Arial"/>
          <w:color w:val="000000"/>
          <w:szCs w:val="20"/>
        </w:rPr>
        <w:t xml:space="preserve"> obtido(s) pela aplicação das seguintes fórmulas: </w:t>
      </w:r>
      <w:r>
        <w:rPr>
          <w:rFonts w:cs="Arial"/>
          <w:color w:val="FF0000"/>
          <w:szCs w:val="20"/>
        </w:rPr>
        <w:t xml:space="preserve">(...) </w:t>
      </w:r>
      <w:commentRangeEnd w:id="28"/>
      <w:r>
        <w:rPr>
          <w:rFonts w:cs="Arial"/>
          <w:color w:val="FF0000"/>
          <w:szCs w:val="20"/>
        </w:rPr>
      </w:r>
      <w:r>
        <w:rPr>
          <w:rFonts w:cs="Arial"/>
          <w:color w:val="FF0000"/>
          <w:szCs w:val="20"/>
        </w:rPr>
        <w:commentReference w:id="28"/>
      </w:r>
    </w:p>
    <w:p>
      <w:pPr>
        <w:pStyle w:val="style0"/>
        <w:numPr>
          <w:ilvl w:val="2"/>
          <w:numId w:val="5"/>
        </w:numPr>
        <w:tabs>
          <w:tab w:leader="none" w:pos="1440" w:val="left"/>
        </w:tabs>
        <w:spacing w:after="120" w:before="120" w:line="276" w:lineRule="auto"/>
        <w:contextualSpacing w:val="false"/>
        <w:jc w:val="both"/>
        <w:rPr>
          <w:rFonts w:cs="Arial"/>
          <w:color w:val="000000"/>
          <w:szCs w:val="20"/>
        </w:rPr>
      </w:pPr>
      <w:commentRangeStart w:id="29"/>
      <w:r>
        <w:rPr>
          <w:rFonts w:cs="Arial"/>
          <w:color w:val="000000"/>
          <w:szCs w:val="20"/>
        </w:rPr>
        <w:t>A empresa deverá comprovar, ainda, capital mínimo ou patrimônio líquido mínimo de</w:t>
      </w:r>
      <w:r>
        <w:rPr>
          <w:rFonts w:cs="Arial"/>
          <w:i/>
          <w:iCs/>
          <w:color w:val="000000"/>
          <w:szCs w:val="20"/>
        </w:rPr>
        <w:t xml:space="preserve"> ... (....) % </w:t>
      </w:r>
      <w:r>
        <w:rPr>
          <w:rFonts w:cs="Arial"/>
          <w:color w:val="000000"/>
          <w:szCs w:val="20"/>
        </w:rPr>
        <w:t xml:space="preserve">do valor estimado da contratação ou do item pertinente. </w:t>
      </w:r>
      <w:commentRangeEnd w:id="29"/>
      <w:r>
        <w:rPr>
          <w:rFonts w:cs="Arial"/>
          <w:color w:val="000000"/>
          <w:szCs w:val="20"/>
        </w:rPr>
      </w:r>
      <w:r>
        <w:rPr>
          <w:rFonts w:cs="Arial"/>
          <w:color w:val="000000"/>
          <w:szCs w:val="20"/>
        </w:rPr>
        <w:commentReference w:id="29"/>
      </w:r>
    </w:p>
    <w:p>
      <w:pPr>
        <w:pStyle w:val="style0"/>
        <w:numPr>
          <w:ilvl w:val="2"/>
          <w:numId w:val="5"/>
        </w:numPr>
        <w:tabs>
          <w:tab w:leader="none" w:pos="1440" w:val="left"/>
        </w:tabs>
        <w:spacing w:after="120" w:before="120" w:line="276" w:lineRule="auto"/>
        <w:contextualSpacing w:val="false"/>
        <w:jc w:val="both"/>
        <w:rPr>
          <w:rFonts w:cs="Arial"/>
          <w:i/>
          <w:iCs/>
          <w:color w:val="000000"/>
          <w:szCs w:val="20"/>
        </w:rPr>
      </w:pPr>
      <w:commentRangeStart w:id="30"/>
      <w:r>
        <w:rPr>
          <w:rFonts w:cs="Arial"/>
          <w:i/>
          <w:iCs/>
          <w:color w:val="000000"/>
          <w:szCs w:val="20"/>
        </w:rPr>
        <w:t xml:space="preserve">O atendimento dos índices econômicos previstos neste item deverá ser atestado por meio de declaração assinada por profissional habilitado da área contábil, apresentada pelo fornecedor. </w:t>
      </w:r>
      <w:commentRangeEnd w:id="30"/>
      <w:r>
        <w:rPr>
          <w:rFonts w:cs="Arial"/>
          <w:i/>
          <w:iCs/>
          <w:color w:val="000000"/>
          <w:szCs w:val="20"/>
        </w:rPr>
      </w:r>
      <w:r>
        <w:rPr>
          <w:rFonts w:cs="Arial"/>
          <w:i/>
          <w:iCs/>
          <w:color w:val="000000"/>
          <w:szCs w:val="20"/>
        </w:rPr>
        <w:commentReference w:id="30"/>
      </w:r>
    </w:p>
    <w:p>
      <w:pPr>
        <w:pStyle w:val="style0"/>
        <w:numPr>
          <w:ilvl w:val="2"/>
          <w:numId w:val="5"/>
        </w:numPr>
        <w:tabs>
          <w:tab w:leader="none" w:pos="1440" w:val="left"/>
        </w:tabs>
        <w:spacing w:after="120" w:before="120" w:line="276" w:lineRule="auto"/>
        <w:contextualSpacing w:val="false"/>
        <w:jc w:val="both"/>
        <w:rPr>
          <w:i/>
          <w:color w:val="000000"/>
        </w:rPr>
      </w:pPr>
      <w:commentRangeStart w:id="31"/>
      <w:r>
        <w:rPr>
          <w:rFonts w:cs="Arial"/>
          <w:bCs/>
          <w:i/>
          <w:color w:val="000000"/>
          <w:szCs w:val="20"/>
        </w:rPr>
        <w:t xml:space="preserve">A empresa deverá apresentar, ainda, declaração contendo a relação de compromissos por ela assumidos, conforme modelo constante do Anexo ....., que importem em </w:t>
      </w:r>
      <w:r>
        <w:rPr>
          <w:rFonts w:cs="Arial"/>
          <w:i/>
          <w:iCs/>
          <w:color w:val="000000"/>
          <w:szCs w:val="20"/>
        </w:rPr>
        <w:t>diminuição</w:t>
      </w:r>
      <w:r>
        <w:rPr>
          <w:i/>
          <w:color w:val="000000"/>
        </w:rPr>
        <w:t xml:space="preserve"> de sua capacidade econômico-financeira, excluídas parcelas já executadas de contratos firmados.</w:t>
      </w:r>
      <w:commentRangeEnd w:id="31"/>
      <w:r>
        <w:rPr>
          <w:i/>
          <w:color w:val="000000"/>
        </w:rPr>
      </w:r>
      <w:r>
        <w:rPr>
          <w:i/>
          <w:color w:val="000000"/>
        </w:rPr>
        <w:commentReference w:id="31"/>
      </w:r>
    </w:p>
    <w:p>
      <w:pPr>
        <w:pStyle w:val="style121"/>
        <w:numPr>
          <w:ilvl w:val="1"/>
          <w:numId w:val="5"/>
        </w:numPr>
        <w:spacing w:after="120" w:before="120" w:line="276" w:lineRule="auto"/>
        <w:contextualSpacing/>
        <w:jc w:val="both"/>
        <w:rPr>
          <w:rFonts w:cs="Arial"/>
          <w:b/>
          <w:bCs/>
          <w:color w:val="000000"/>
          <w:szCs w:val="20"/>
        </w:rPr>
      </w:pPr>
      <w:commentRangeStart w:id="32"/>
      <w:r>
        <w:rPr>
          <w:rFonts w:cs="Arial"/>
          <w:b/>
          <w:bCs/>
          <w:color w:val="000000"/>
          <w:szCs w:val="20"/>
        </w:rPr>
        <w:t>Habilitação técnica:</w:t>
      </w:r>
    </w:p>
    <w:p>
      <w:pPr>
        <w:pStyle w:val="style121"/>
        <w:numPr>
          <w:ilvl w:val="2"/>
          <w:numId w:val="5"/>
        </w:numPr>
        <w:spacing w:after="120" w:before="120" w:line="276" w:lineRule="auto"/>
        <w:contextualSpacing/>
        <w:jc w:val="both"/>
        <w:rPr>
          <w:rFonts w:cs="Arial"/>
          <w:b/>
          <w:bCs/>
          <w:iCs/>
          <w:color w:val="000000"/>
          <w:szCs w:val="20"/>
        </w:rPr>
      </w:pPr>
      <w:r>
        <w:rPr>
          <w:rFonts w:cs="Arial"/>
          <w:iCs/>
          <w:color w:val="000000"/>
          <w:szCs w:val="20"/>
        </w:rPr>
        <w:t>....</w:t>
      </w:r>
      <w:r>
        <w:rPr>
          <w:rFonts w:cs="Arial"/>
          <w:b/>
          <w:bCs/>
          <w:iCs/>
          <w:color w:val="000000"/>
          <w:szCs w:val="20"/>
        </w:rPr>
        <w:t xml:space="preserve"> </w:t>
      </w:r>
      <w:commentRangeEnd w:id="32"/>
      <w:r>
        <w:rPr>
          <w:rFonts w:cs="Arial"/>
          <w:b/>
          <w:bCs/>
          <w:iCs/>
          <w:color w:val="000000"/>
          <w:szCs w:val="20"/>
        </w:rPr>
      </w:r>
      <w:r>
        <w:rPr>
          <w:rFonts w:cs="Arial"/>
          <w:b/>
          <w:bCs/>
          <w:iCs/>
          <w:color w:val="000000"/>
          <w:szCs w:val="20"/>
        </w:rPr>
        <w:commentReference w:id="32"/>
      </w:r>
    </w:p>
    <w:p>
      <w:pPr>
        <w:pStyle w:val="style121"/>
        <w:numPr>
          <w:ilvl w:val="2"/>
          <w:numId w:val="5"/>
        </w:numPr>
        <w:spacing w:after="120" w:before="120" w:line="276" w:lineRule="auto"/>
        <w:contextualSpacing/>
        <w:jc w:val="both"/>
        <w:textAlignment w:val="baseline"/>
        <w:rPr>
          <w:rFonts w:cs="Arial"/>
          <w:i/>
          <w:iCs/>
          <w:color w:val="000000"/>
          <w:szCs w:val="20"/>
        </w:rPr>
      </w:pPr>
      <w:commentRangeStart w:id="33"/>
      <w:r>
        <w:rPr>
          <w:rFonts w:cs="Arial"/>
          <w:i/>
          <w:iCs/>
          <w:color w:val="00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000000"/>
          <w:szCs w:val="20"/>
        </w:rPr>
        <w:t>ou</w:t>
      </w:r>
      <w:r>
        <w:rPr>
          <w:rFonts w:cs="Arial"/>
          <w:i/>
          <w:iCs/>
          <w:color w:val="000000"/>
          <w:szCs w:val="20"/>
        </w:rPr>
        <w:t xml:space="preserve">, </w:t>
      </w:r>
      <w:r>
        <w:rPr>
          <w:rFonts w:cs="Arial"/>
          <w:b/>
          <w:i/>
          <w:iCs/>
          <w:color w:val="000000"/>
          <w:szCs w:val="20"/>
        </w:rPr>
        <w:t>alternativamente,</w:t>
      </w:r>
      <w:r>
        <w:rPr>
          <w:rFonts w:cs="Arial"/>
          <w:i/>
          <w:iCs/>
          <w:color w:val="00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commentRangeEnd w:id="33"/>
      <w:r>
        <w:rPr>
          <w:rFonts w:cs="Arial"/>
          <w:i/>
          <w:iCs/>
          <w:color w:val="000000"/>
          <w:szCs w:val="20"/>
        </w:rPr>
      </w:r>
      <w:r>
        <w:rPr>
          <w:rFonts w:cs="Arial"/>
          <w:i/>
          <w:iCs/>
          <w:color w:val="000000"/>
          <w:szCs w:val="20"/>
        </w:rPr>
        <w:commentReference w:id="33"/>
      </w:r>
    </w:p>
    <w:p>
      <w:pPr>
        <w:pStyle w:val="style0"/>
        <w:rPr/>
      </w:pPr>
      <w:r>
        <w:rPr/>
      </w:r>
    </w:p>
    <w:p>
      <w:pPr>
        <w:sectPr>
          <w:type w:val="continuous"/>
          <w:pgSz w:h="16838" w:w="11906"/>
          <w:pgMar w:bottom="1417" w:footer="708" w:gutter="0" w:header="0" w:left="1701" w:right="1701" w:top="1417"/>
          <w:formProt w:val="false"/>
          <w:textDirection w:val="lrTb"/>
          <w:docGrid w:charSpace="40960" w:linePitch="400" w:type="default"/>
        </w:sectPr>
      </w:pPr>
    </w:p>
    <w:sectPr>
      <w:type w:val="continuous"/>
      <w:pgSz w:h="16838" w:w="11906"/>
      <w:pgMar w:bottom="1417" w:footer="708" w:gutter="0" w:header="0" w:left="1701" w:right="1701" w:top="1417"/>
      <w:pgNumType w:fmt="decimal"/>
      <w:formProt w:val="false"/>
      <w:textDirection w:val="lrTb"/>
      <w:docGrid w:charSpace="40960" w:linePitch="400" w:type="default"/>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comment w:author="Autor" w:date="0-00-00T00:00:00Z" w:id="0" w:initials="A">
    <w:p>
      <w:r>
        <w:rPr>
          <w:rFonts w:ascii="Liberation Serif" w:eastAsia="Segoe UI" w:hAnsi="Liberation Serif"/>
          <w:b/>
          <w:bCs/>
          <w:color w:val="00000A"/>
          <w:sz w:val="24"/>
          <w:lang w:bidi="en-US" w:eastAsia="en-US" w:val="en-US"/>
        </w:rPr>
        <w:t xml:space="preserve">ORIENTAÇÕES PARA USO DO MODELO – </w:t>
      </w:r>
      <w:r>
        <w:rPr>
          <w:rFonts w:ascii="Liberation Serif" w:eastAsia="Segoe UI" w:hAnsi="Liberation Serif"/>
          <w:b/>
          <w:bCs/>
          <w:color w:val="FF0000"/>
          <w:sz w:val="24"/>
          <w:lang w:bidi="en-US" w:eastAsia="en-US" w:val="en-US"/>
        </w:rPr>
        <w:t>LEITURA OBRIGATÓRIA</w:t>
      </w:r>
    </w:p>
    <w:p>
      <w:r>
        <w:rPr/>
      </w:r>
    </w:p>
    <w:p>
      <w:r>
        <w:rPr>
          <w:rFonts w:ascii="Liberation Serif" w:eastAsia="Segoe UI" w:hAnsi="Liberation Serif"/>
          <w:color w:val="00000A"/>
          <w:sz w:val="24"/>
          <w:lang w:bidi="en-US" w:eastAsia="en-US" w:val="en-US"/>
        </w:rPr>
        <w:t>1)O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https://www.gov.br/compras/pt-br/acesso-a-informacao/manuais/dispensa-eletronica/ManualNovoDispensaEletrnica28.01.2022.pdf.</w:t>
      </w:r>
    </w:p>
    <w:p>
      <w:r>
        <w:rPr/>
      </w:r>
    </w:p>
    <w:p>
      <w:r>
        <w:rPr>
          <w:rFonts w:ascii="Liberation Serif" w:eastAsia="Segoe UI" w:hAnsi="Liberation Serif"/>
          <w:color w:val="00000A"/>
          <w:sz w:val="24"/>
          <w:lang w:bidi="en-US" w:eastAsia="en-US" w:val="en-US"/>
        </w:rPr>
        <w:t>2)A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p>
    <w:p>
      <w:r>
        <w:rPr/>
      </w:r>
    </w:p>
    <w:p>
      <w:r>
        <w:rPr>
          <w:rFonts w:ascii="Liberation Serif" w:eastAsia="Segoe UI" w:hAnsi="Liberation Serif"/>
          <w:color w:val="00000A"/>
          <w:sz w:val="24"/>
          <w:lang w:bidi="en-US" w:eastAsia="en-US" w:val="en-US"/>
        </w:rPr>
        <w:t xml:space="preserve">3)Os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p>
    <w:p>
      <w:r>
        <w:rPr/>
      </w:r>
    </w:p>
    <w:p>
      <w:r>
        <w:rPr>
          <w:rFonts w:ascii="Liberation Serif" w:eastAsia="Segoe UI" w:hAnsi="Liberation Serif"/>
          <w:color w:val="00000A"/>
          <w:sz w:val="24"/>
          <w:lang w:bidi="en-US" w:eastAsia="en-US" w:val="en-US"/>
        </w:rPr>
        <w:t xml:space="preserve">4)Alguns itens receberam notas explicativas, destacadas para compreensão do agente ou setor responsável, que deverão ser devidamente suprimidas ao se finalizar o documento na versão original. </w:t>
      </w:r>
    </w:p>
    <w:p>
      <w:r>
        <w:rPr/>
      </w:r>
    </w:p>
    <w:p>
      <w:r>
        <w:rPr>
          <w:rFonts w:ascii="Liberation Serif" w:eastAsia="Segoe UI" w:hAnsi="Liberation Serif"/>
          <w:color w:val="00000A"/>
          <w:sz w:val="24"/>
          <w:lang w:bidi="en-US" w:eastAsia="en-US" w:val="en-US"/>
        </w:rPr>
        <w:t>5)Recomenda-se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
    </w:p>
    <w:p>
      <w:r>
        <w:rPr>
          <w:rFonts w:ascii="Liberation Serif" w:eastAsia="Segoe UI" w:hAnsi="Liberation Serif"/>
          <w:color w:val="00000A"/>
          <w:sz w:val="24"/>
          <w:lang w:bidi="en-US" w:eastAsia="en-US" w:val="en-US"/>
        </w:rPr>
        <w:t>6)Quaisquer sugestões de alteração poderão ser encaminhadas ao e-mail: cgu.modeloscontratacao@agu.gov.br.</w:t>
      </w:r>
    </w:p>
    <w:p>
      <w:r>
        <w:rPr/>
      </w:r>
    </w:p>
    <w:p>
      <w:r>
        <w:rPr>
          <w:rFonts w:ascii="Liberation Serif" w:eastAsia="Segoe UI" w:hAnsi="Liberation Serif"/>
          <w:color w:val="00000A"/>
          <w:sz w:val="24"/>
          <w:lang w:bidi="en-US" w:eastAsia="en-US" w:val="en-US"/>
        </w:rPr>
        <w:t xml:space="preserve">7)Este modelo </w:t>
      </w:r>
      <w:r>
        <w:rPr>
          <w:rFonts w:ascii="Liberation Serif" w:eastAsia="Segoe UI" w:hAnsi="Liberation Serif"/>
          <w:b/>
          <w:bCs/>
          <w:color w:val="00000A"/>
          <w:sz w:val="24"/>
          <w:lang w:bidi="en-US" w:eastAsia="en-US" w:val="en-US"/>
        </w:rPr>
        <w:t>poderá</w:t>
      </w:r>
      <w:r>
        <w:rPr>
          <w:rFonts w:ascii="Liberation Serif" w:eastAsia="Segoe UI" w:hAnsi="Liberation Serif"/>
          <w:color w:val="00000A"/>
          <w:sz w:val="24"/>
          <w:lang w:bidi="en-US" w:eastAsia="en-US" w:val="en-US"/>
        </w:rPr>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
        <w:rPr/>
      </w:r>
    </w:p>
    <w:p>
      <w:r>
        <w:rPr/>
      </w:r>
    </w:p>
    <w:p>
      <w:r>
        <w:rPr/>
      </w:r>
    </w:p>
    <w:p>
      <w:r>
        <w:rPr/>
      </w:r>
    </w:p>
    <w:p>
      <w:r>
        <w:rPr/>
      </w:r>
    </w:p>
    <w:p>
      <w:r>
        <w:rPr/>
      </w:r>
    </w:p>
    <w:p>
      <w:r>
        <w:rPr/>
      </w:r>
    </w:p>
  </w:comment>
  <w:comment w:author="Autor" w:date="0-00-00T00:00:00Z" w:id="1"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Ajustar o Preâmbulo com a hipótese de dispensa.</w:t>
      </w:r>
    </w:p>
    <w:p>
      <w:r>
        <w:rPr/>
      </w:r>
    </w:p>
    <w:p>
      <w:r>
        <w:rPr/>
      </w:r>
    </w:p>
    <w:p>
      <w:r>
        <w:rPr/>
      </w:r>
    </w:p>
    <w:p>
      <w:r>
        <w:rPr/>
      </w:r>
    </w:p>
    <w:p>
      <w:r>
        <w:rPr/>
      </w:r>
    </w:p>
    <w:p>
      <w:r>
        <w:rPr/>
      </w:r>
    </w:p>
    <w:p>
      <w:r>
        <w:rPr/>
      </w:r>
    </w:p>
  </w:comment>
  <w:comment w:author="Autor" w:date="0-00-00T00:00:00Z" w:id="2" w:initials="A">
    <w:p>
      <w:r>
        <w:rPr>
          <w:rFonts w:ascii="Liberation Serif" w:eastAsia="Segoe UI" w:hAnsi="Liberation Serif"/>
          <w:b/>
          <w:bCs/>
          <w:i/>
          <w:iCs/>
          <w:color w:val="000000"/>
          <w:sz w:val="24"/>
          <w:lang w:bidi="en-US" w:eastAsia="en-US" w:val="en-US"/>
        </w:rPr>
        <w:t xml:space="preserve">Nota explicativa 1: </w:t>
      </w:r>
      <w:r>
        <w:rPr>
          <w:rFonts w:ascii="Liberation Serif" w:eastAsia="Segoe UI" w:hAnsi="Liberation Serif"/>
          <w:i/>
          <w:iCs/>
          <w:color w:val="000000"/>
          <w:sz w:val="24"/>
          <w:lang w:bidi="en-US" w:eastAsia="en-US" w:val="en-US"/>
        </w:rPr>
        <w:t>O horário da fase de lances deverá ser estabelecido conforme o art. 11 da Instrução Normativa Seges/ME nº 67, de 2021.</w:t>
      </w:r>
    </w:p>
    <w:p>
      <w:r>
        <w:rPr/>
      </w:r>
    </w:p>
    <w:p>
      <w:r>
        <w:rPr/>
      </w:r>
    </w:p>
    <w:p>
      <w:r>
        <w:rPr/>
      </w:r>
    </w:p>
    <w:p>
      <w:r>
        <w:rPr/>
      </w:r>
    </w:p>
    <w:p>
      <w:r>
        <w:rPr/>
      </w:r>
    </w:p>
    <w:p>
      <w:r>
        <w:rPr/>
      </w:r>
    </w:p>
    <w:p>
      <w:r>
        <w:rPr/>
      </w:r>
    </w:p>
  </w:comment>
  <w:comment w:author="Autor" w:date="0-00-00T00:00:00Z" w:id="3" w:initials="A">
    <w:p>
      <w:r>
        <w:rPr>
          <w:rFonts w:ascii="Liberation Serif" w:eastAsia="Segoe UI" w:hAnsi="Liberation Serif"/>
          <w:b/>
          <w:bCs/>
          <w:i/>
          <w:iCs/>
          <w:color w:val="000000"/>
          <w:sz w:val="24"/>
          <w:lang w:bidi="en-US" w:eastAsia="en-US" w:val="en-US"/>
        </w:rPr>
        <w:t>Nota Explicativa 2:</w:t>
      </w:r>
      <w:r>
        <w:rPr>
          <w:rFonts w:ascii="Liberation Serif" w:eastAsia="Segoe UI" w:hAnsi="Liberation Serif"/>
          <w:i/>
          <w:iCs/>
          <w:color w:val="000000"/>
          <w:sz w:val="24"/>
          <w:lang w:bidi="en-US" w:eastAsia="en-US" w:val="en-US"/>
        </w:rPr>
        <w:t xml:space="preserve"> Inserir o Regime de Execução </w:t>
      </w:r>
      <w:r>
        <w:rPr>
          <w:rFonts w:ascii="Liberation Serif" w:eastAsia="Segoe UI" w:hAnsi="Liberation Serif"/>
          <w:b/>
          <w:bCs/>
          <w:i/>
          <w:iCs/>
          <w:color w:val="000000"/>
          <w:sz w:val="24"/>
          <w:lang w:bidi="en-US" w:eastAsia="en-US" w:val="en-US"/>
        </w:rPr>
        <w:t>apenas</w:t>
      </w:r>
      <w:r>
        <w:rPr>
          <w:rFonts w:ascii="Liberation Serif" w:eastAsia="Segoe UI" w:hAnsi="Liberation Serif"/>
          <w:i/>
          <w:iCs/>
          <w:color w:val="000000"/>
          <w:sz w:val="24"/>
          <w:lang w:bidi="en-US" w:eastAsia="en-US" w:val="en-US"/>
        </w:rPr>
        <w:t xml:space="preserve"> para contratações de obras ou de serviços de engenharia.</w:t>
      </w:r>
    </w:p>
    <w:p>
      <w:r>
        <w:rPr/>
      </w:r>
    </w:p>
    <w:p>
      <w:r>
        <w:rPr/>
      </w:r>
    </w:p>
    <w:p>
      <w:r>
        <w:rPr/>
      </w:r>
    </w:p>
    <w:p>
      <w:r>
        <w:rPr/>
      </w:r>
    </w:p>
    <w:p>
      <w:r>
        <w:rPr/>
      </w:r>
    </w:p>
    <w:p>
      <w:r>
        <w:rPr/>
      </w:r>
    </w:p>
    <w:p>
      <w:r>
        <w:rPr/>
      </w:r>
    </w:p>
  </w:comment>
  <w:comment w:author="Autor" w:date="0-00-00T00:00:00Z" w:id="4"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A tabela abaixo é meramente ilustrativa. Incumbe à área contratante ajustá-la incluindo ou excluindo informações na medida em que forem aplicáveis ou não à contratação em questão.</w:t>
      </w:r>
    </w:p>
    <w:p>
      <w:r>
        <w:rPr/>
      </w:r>
    </w:p>
    <w:p>
      <w:r>
        <w:rPr/>
      </w:r>
    </w:p>
    <w:p>
      <w:r>
        <w:rPr/>
      </w:r>
    </w:p>
    <w:p>
      <w:r>
        <w:rPr/>
      </w:r>
    </w:p>
    <w:p>
      <w:r>
        <w:rPr/>
      </w:r>
    </w:p>
    <w:p>
      <w:r>
        <w:rPr/>
      </w:r>
    </w:p>
    <w:p>
      <w:r>
        <w:rPr/>
      </w:r>
    </w:p>
  </w:comment>
  <w:comment w:author="Autor" w:date="0-00-00T00:00:00Z" w:id="5"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Utilizar o subitem 2.2.5, se não for possível a contratação de cooperativas. Caso contrário, utilizar os subitens 2.3 e 2.3.1. </w:t>
      </w:r>
    </w:p>
    <w:p>
      <w:r>
        <w:rPr>
          <w:rFonts w:ascii="Liberation Serif" w:eastAsia="Segoe UI" w:hAnsi="Liberation Serif"/>
          <w:i/>
          <w:iCs/>
          <w:color w:val="000000"/>
          <w:sz w:val="24"/>
          <w:lang w:bidi="en-US" w:eastAsia="en-US" w:val="en-US"/>
        </w:rPr>
        <w:t>Lembramos que, caso se proíba a participação de cooperativas, as demais disposições do Aviso de Contratação Direta deverão ser adaptadas a esta nova condição.</w:t>
      </w:r>
    </w:p>
    <w:p>
      <w:r>
        <w:rPr/>
      </w:r>
    </w:p>
    <w:p>
      <w:r>
        <w:rPr/>
      </w:r>
    </w:p>
    <w:p>
      <w:r>
        <w:rPr/>
      </w:r>
    </w:p>
    <w:p>
      <w:r>
        <w:rPr/>
      </w:r>
    </w:p>
    <w:p>
      <w:r>
        <w:rPr/>
      </w:r>
    </w:p>
    <w:p>
      <w:r>
        <w:rPr/>
      </w:r>
    </w:p>
    <w:p>
      <w:r>
        <w:rPr/>
      </w:r>
    </w:p>
  </w:comment>
  <w:comment w:author="Autor" w:date="0-00-00T00:00:00Z" w:id="6"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p>
      <w:r>
        <w:rPr/>
      </w:r>
    </w:p>
    <w:p>
      <w:r>
        <w:rPr/>
      </w:r>
    </w:p>
    <w:p>
      <w:r>
        <w:rPr/>
      </w:r>
    </w:p>
    <w:p>
      <w:r>
        <w:rPr/>
      </w:r>
    </w:p>
    <w:p>
      <w:r>
        <w:rPr/>
      </w:r>
    </w:p>
    <w:p>
      <w:r>
        <w:rPr/>
      </w:r>
    </w:p>
    <w:p>
      <w:r>
        <w:rPr/>
      </w:r>
    </w:p>
  </w:comment>
  <w:comment w:author="Autor" w:date="0-00-00T00:00:00Z" w:id="7"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Caso o fornecedor assinale o campo "não" na declaração relativa ao subitem acima, não fará jus ao tratamento favorecido previsto na Lei Complementar n.º 123, de 2006, mesmo que se trate de microempresa, empresa de pequeno porte ou sociedade cooperativa.</w:t>
      </w:r>
    </w:p>
    <w:p>
      <w:r>
        <w:rPr/>
      </w:r>
    </w:p>
    <w:p>
      <w:r>
        <w:rPr/>
      </w:r>
    </w:p>
    <w:p>
      <w:r>
        <w:rPr/>
      </w:r>
    </w:p>
    <w:p>
      <w:r>
        <w:rPr/>
      </w:r>
    </w:p>
    <w:p>
      <w:r>
        <w:rPr/>
      </w:r>
    </w:p>
    <w:p>
      <w:r>
        <w:rPr/>
      </w:r>
    </w:p>
    <w:p>
      <w:r>
        <w:rPr/>
      </w:r>
    </w:p>
  </w:comment>
  <w:comment w:author="Autor" w:date="0-00-00T00:00:00Z" w:id="8"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Atentar se o sistema já possui essa funcionalidade instalada. Caso não tenha, suprimir o subitem 3.11 e itens subordinados. Se já houver a funcionalidade, a revisão deve ser mantida.</w:t>
      </w:r>
    </w:p>
    <w:p>
      <w:r>
        <w:rPr/>
      </w:r>
    </w:p>
    <w:p>
      <w:r>
        <w:rPr/>
      </w:r>
    </w:p>
    <w:p>
      <w:r>
        <w:rPr/>
      </w:r>
    </w:p>
    <w:p>
      <w:r>
        <w:rPr/>
      </w:r>
    </w:p>
    <w:p>
      <w:r>
        <w:rPr/>
      </w:r>
    </w:p>
    <w:p>
      <w:r>
        <w:rPr/>
      </w:r>
    </w:p>
    <w:p>
      <w:r>
        <w:rPr/>
      </w:r>
    </w:p>
  </w:comment>
  <w:comment w:author="Autor" w:date="0-00-00T00:00:00Z" w:id="9"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utilizar este subitem caso o objeto a ser contratado exija a discriminação de custos unitários e/ou a apresentação de planilha de formação de preços (ex: serviços de engenharia sob o regime de execução de empreitada por preço unitário, em relação aos custos tidos como relevantes, ou serviços com dedicação de mão-de-obra). Deve-se verificar, outrossim, se a inexequibilidade de custos unitários isolados será utilizada como critério de desclassificação.</w:t>
      </w:r>
    </w:p>
    <w:p>
      <w:r>
        <w:rPr/>
      </w:r>
    </w:p>
    <w:p>
      <w:r>
        <w:rPr/>
      </w:r>
    </w:p>
    <w:p>
      <w:r>
        <w:rPr/>
      </w:r>
    </w:p>
    <w:p>
      <w:r>
        <w:rPr/>
      </w:r>
    </w:p>
    <w:p>
      <w:r>
        <w:rPr/>
      </w:r>
    </w:p>
    <w:p>
      <w:r>
        <w:rPr/>
      </w:r>
    </w:p>
    <w:p>
      <w:r>
        <w:rPr/>
      </w:r>
    </w:p>
  </w:comment>
  <w:comment w:author="Autor" w:date="0-00-00T00:00:00Z" w:id="10"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Preencher com prazo reputado como razoável para a conclusão da contratação. Registre-se que não há prazo mínimo ou máximo de validade previsto em normativo neste caso.</w:t>
      </w:r>
    </w:p>
    <w:p>
      <w:r>
        <w:rPr/>
      </w:r>
    </w:p>
    <w:p>
      <w:r>
        <w:rPr/>
      </w:r>
    </w:p>
    <w:p>
      <w:r>
        <w:rPr/>
      </w:r>
    </w:p>
    <w:p>
      <w:r>
        <w:rPr/>
      </w:r>
    </w:p>
    <w:p>
      <w:r>
        <w:rPr/>
      </w:r>
    </w:p>
    <w:p>
      <w:r>
        <w:rPr/>
      </w:r>
    </w:p>
    <w:p>
      <w:r>
        <w:rPr/>
      </w:r>
    </w:p>
  </w:comment>
  <w:comment w:author="Autor" w:date="0-00-00T00:00:00Z" w:id="11"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Se o regime não for de empreitada por preço unitário, não cabe desclassificação em razão de custos unitários superiores aos orçados pela Administração, por força do art. 56, §5º, da Lei nº 14.133, de 2021. Por essa razão, essa planilha, neste momento, servirá apenas para aferir a exequibilidade da proposta; e não eventual sobrepreço de preços unitários. Embora isso possa representar um risco em relação a um eventual  jogo de planilhas pelo contratado, os artigos 127 e principalmente 128 impedem que os preços unitários maiores sejam usados como parâmetro de futuros aditivos.</w:t>
      </w:r>
    </w:p>
    <w:p>
      <w:r>
        <w:rPr/>
      </w:r>
    </w:p>
    <w:p>
      <w:r>
        <w:rPr/>
      </w:r>
    </w:p>
    <w:p>
      <w:r>
        <w:rPr/>
      </w:r>
    </w:p>
    <w:p>
      <w:r>
        <w:rPr/>
      </w:r>
    </w:p>
    <w:p>
      <w:r>
        <w:rPr/>
      </w:r>
    </w:p>
    <w:p>
      <w:r>
        <w:rPr/>
      </w:r>
    </w:p>
    <w:p>
      <w:r>
        <w:rPr/>
      </w:r>
    </w:p>
  </w:comment>
  <w:comment w:author="Autor" w:date="0-00-00T00:00:00Z" w:id="12"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A disposição deste subitem aplica-se apenas a obras ou serviços de engenharia, devendo ser suprimida para os demais objetos contratuais.</w:t>
      </w:r>
    </w:p>
    <w:p>
      <w:r>
        <w:rPr/>
      </w:r>
    </w:p>
    <w:p>
      <w:r>
        <w:rPr/>
      </w:r>
    </w:p>
    <w:p>
      <w:r>
        <w:rPr/>
      </w:r>
    </w:p>
    <w:p>
      <w:r>
        <w:rPr/>
      </w:r>
    </w:p>
    <w:p>
      <w:r>
        <w:rPr/>
      </w:r>
    </w:p>
    <w:p>
      <w:r>
        <w:rPr/>
      </w:r>
    </w:p>
    <w:p>
      <w:r>
        <w:rPr/>
      </w:r>
    </w:p>
  </w:comment>
  <w:comment w:author="Autor" w:date="0-00-00T00:00:00Z" w:id="13" w:initials="A">
    <w:p>
      <w:r>
        <w:rPr>
          <w:rFonts w:ascii="Liberation Serif" w:eastAsia="Segoe UI" w:hAnsi="Liberation Serif"/>
          <w:b/>
          <w:bCs/>
          <w:i/>
          <w:iCs/>
          <w:color w:val="00000A"/>
          <w:sz w:val="24"/>
          <w:lang w:bidi="en-US" w:eastAsia="en-US" w:val="en-US"/>
        </w:rPr>
        <w:t>Nota explicativa:</w:t>
      </w:r>
      <w:r>
        <w:rPr>
          <w:rFonts w:ascii="Liberation Serif" w:eastAsia="Segoe UI" w:hAnsi="Liberation Serif"/>
          <w:i/>
          <w:iCs/>
          <w:color w:val="00000A"/>
          <w:sz w:val="24"/>
          <w:lang w:bidi="en-US" w:eastAsia="en-US" w:val="en-US"/>
        </w:rPr>
        <w:t xml:space="preserve"> A recomendação de consulta aos cadastros acima se dá à luz do § 4º do  art. 91, da Lei nº 14.133, de 2021, sem prejuízo da possibilidade, a critério   do órgão respectivo, de consulta complementar a outros cadastros </w:t>
      </w:r>
      <w:r>
        <w:rPr>
          <w:rFonts w:ascii="Liberation Serif" w:eastAsia="Segoe UI" w:hAnsi="Liberation Serif"/>
          <w:i/>
          <w:iCs/>
          <w:color w:val="000000"/>
          <w:sz w:val="24"/>
          <w:lang w:bidi="en-US" w:eastAsia="en-US" w:val="en-US"/>
        </w:rPr>
        <w:t>análogos, tais como os mantidos pelo Tribunal de Contas da União – TCU.</w:t>
      </w:r>
    </w:p>
    <w:p>
      <w:r>
        <w:rPr/>
      </w:r>
    </w:p>
    <w:p>
      <w:r>
        <w:rPr/>
      </w:r>
    </w:p>
    <w:p>
      <w:r>
        <w:rPr/>
      </w:r>
    </w:p>
    <w:p>
      <w:r>
        <w:rPr/>
      </w:r>
    </w:p>
    <w:p>
      <w:r>
        <w:rPr/>
      </w:r>
    </w:p>
    <w:p>
      <w:r>
        <w:rPr/>
      </w:r>
    </w:p>
    <w:p>
      <w:r>
        <w:rPr/>
      </w:r>
    </w:p>
  </w:comment>
  <w:comment w:author="Autor" w:date="0-00-00T00:00:00Z" w:id="14" w:initials="A">
    <w:p>
      <w:r>
        <w:rPr>
          <w:rFonts w:ascii="Liberation Serif" w:eastAsia="Segoe UI" w:hAnsi="Liberation Serif"/>
          <w:b/>
          <w:bCs/>
          <w:color w:val="000000"/>
          <w:sz w:val="24"/>
          <w:lang w:bidi="en-US" w:eastAsia="en-US" w:val="en-US"/>
        </w:rPr>
        <w:t>Nota</w:t>
      </w:r>
      <w:r>
        <w:rPr>
          <w:rFonts w:ascii="Liberation Serif" w:eastAsia="Segoe UI" w:hAnsi="Liberation Serif"/>
          <w:color w:val="000000"/>
          <w:sz w:val="24"/>
          <w:lang w:bidi="en-US" w:eastAsia="en-US" w:val="en-US"/>
        </w:rPr>
        <w:t xml:space="preserve"> </w:t>
      </w:r>
      <w:r>
        <w:rPr>
          <w:rFonts w:ascii="Liberation Serif" w:eastAsia="Segoe UI" w:hAnsi="Liberation Serif"/>
          <w:b/>
          <w:bCs/>
          <w:color w:val="000000"/>
          <w:sz w:val="24"/>
          <w:lang w:bidi="en-US" w:eastAsia="en-US" w:val="en-US"/>
        </w:rPr>
        <w:t>explicativa</w:t>
      </w:r>
      <w:r>
        <w:rPr>
          <w:rFonts w:ascii="Liberation Serif" w:eastAsia="Segoe UI" w:hAnsi="Liberation Serif"/>
          <w:i/>
          <w:iCs/>
          <w:color w:val="000000"/>
          <w:sz w:val="24"/>
          <w:lang w:bidi="en-US" w:eastAsia="en-US" w:val="en-US"/>
        </w:rPr>
        <w:t>: De acordo com o art. 95 da Lei nº 14.133, de 2021, o termo de contrato é facultativo nas contratações fundadas no art. 75, incisos I e II (dispensa por valor) e no caso de compras com entrega imediata.</w:t>
      </w:r>
    </w:p>
    <w:p>
      <w:r>
        <w:rPr>
          <w:rFonts w:ascii="Liberation Serif" w:eastAsia="Segoe UI" w:hAnsi="Liberation Serif"/>
          <w:i/>
          <w:iCs/>
          <w:color w:val="000000"/>
          <w:sz w:val="24"/>
          <w:lang w:bidi="en-US" w:eastAsia="en-US" w:val="en-US"/>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p>
      <w:r>
        <w:rPr/>
      </w:r>
    </w:p>
    <w:p>
      <w:r>
        <w:rPr/>
      </w:r>
    </w:p>
    <w:p>
      <w:r>
        <w:rPr/>
      </w:r>
    </w:p>
    <w:p>
      <w:r>
        <w:rPr/>
      </w:r>
    </w:p>
    <w:p>
      <w:r>
        <w:rPr/>
      </w:r>
    </w:p>
    <w:p>
      <w:r>
        <w:rPr/>
      </w:r>
    </w:p>
    <w:p>
      <w:r>
        <w:rPr/>
      </w:r>
    </w:p>
  </w:comment>
  <w:comment w:author="Autor" w:date="0-00-00T00:00:00Z" w:id="15" w:initials="A">
    <w:p>
      <w:r>
        <w:rPr>
          <w:rFonts w:ascii="Liberation Serif" w:eastAsia="Segoe UI" w:hAnsi="Liberation Serif"/>
          <w:b/>
          <w:bCs/>
          <w:i/>
          <w:iCs/>
          <w:color w:val="000000"/>
          <w:sz w:val="24"/>
          <w:lang w:bidi="en-US" w:eastAsia="en-US" w:val="en-US"/>
        </w:rPr>
        <w:t xml:space="preserve">Nota </w:t>
      </w:r>
      <w:r>
        <w:rPr>
          <w:rFonts w:ascii="Liberation Serif" w:eastAsia="Segoe UI" w:hAnsi="Liberation Serif"/>
          <w:b/>
          <w:bCs/>
          <w:i/>
          <w:iCs/>
          <w:color w:val="00000A"/>
          <w:sz w:val="24"/>
          <w:lang w:bidi="en-US" w:eastAsia="en-US" w:val="en-US"/>
        </w:rPr>
        <w:t>Explicativa</w:t>
      </w:r>
      <w:r>
        <w:rPr>
          <w:rFonts w:ascii="Liberation Serif" w:eastAsia="Segoe UI" w:hAnsi="Liberation Serif"/>
          <w:b/>
          <w:bCs/>
          <w:i/>
          <w:iCs/>
          <w:color w:val="000000"/>
          <w:sz w:val="24"/>
          <w:lang w:bidi="en-US" w:eastAsia="en-US" w:val="en-US"/>
        </w:rPr>
        <w:t>:</w:t>
      </w:r>
      <w:r>
        <w:rPr>
          <w:rFonts w:ascii="Liberation Serif" w:eastAsia="Segoe UI" w:hAnsi="Liberation Serif"/>
          <w:i/>
          <w:iCs/>
          <w:color w:val="000000"/>
          <w:sz w:val="24"/>
          <w:lang w:bidi="en-US" w:eastAsia="en-US" w:val="en-US"/>
        </w:rPr>
        <w:t xml:space="preserve"> É importante que a Administração se certifique de que o Termo de Contrato, devolvido, em meio físico ou eletrônico, assinado pela Contratada, não sofreu qualquer alteração. </w:t>
      </w:r>
    </w:p>
    <w:p>
      <w:r>
        <w:rPr/>
      </w:r>
    </w:p>
    <w:p>
      <w:r>
        <w:rPr/>
      </w:r>
    </w:p>
    <w:p>
      <w:r>
        <w:rPr/>
      </w:r>
    </w:p>
    <w:p>
      <w:r>
        <w:rPr/>
      </w:r>
    </w:p>
    <w:p>
      <w:r>
        <w:rPr/>
      </w:r>
    </w:p>
    <w:p>
      <w:r>
        <w:rPr/>
      </w:r>
    </w:p>
    <w:p>
      <w:r>
        <w:rPr/>
      </w:r>
    </w:p>
  </w:comment>
  <w:comment w:author="Autor" w:date="0-00-00T00:00:00Z" w:id="16"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 xml:space="preserve">Utilizar o subitem acima no caso de haver o uso de nota de empenho ou instrumento assemelhado, em substituição ao instrumento contratual, nos termos dos incisos I e II do art. 95 da Lei nº 14.133, de 2021. </w:t>
      </w:r>
    </w:p>
    <w:p>
      <w:r>
        <w:rPr/>
      </w:r>
    </w:p>
    <w:p>
      <w:r>
        <w:rPr/>
      </w:r>
    </w:p>
    <w:p>
      <w:r>
        <w:rPr/>
      </w:r>
    </w:p>
    <w:p>
      <w:r>
        <w:rPr/>
      </w:r>
    </w:p>
    <w:p>
      <w:r>
        <w:rPr/>
      </w:r>
    </w:p>
    <w:p>
      <w:r>
        <w:rPr/>
      </w:r>
    </w:p>
    <w:p>
      <w:r>
        <w:rPr/>
      </w:r>
    </w:p>
  </w:comment>
  <w:comment w:author="Autor" w:date="0-00-00T00:00:00Z" w:id="17" w:initials="A">
    <w:p>
      <w:r>
        <w:rPr>
          <w:rFonts w:ascii="Liberation Serif" w:eastAsia="Segoe UI" w:hAnsi="Liberation Serif"/>
          <w:b/>
          <w:bCs/>
          <w:i/>
          <w:iCs/>
          <w:color w:val="00000A"/>
          <w:sz w:val="24"/>
          <w:lang w:bidi="en-US" w:eastAsia="en-US" w:val="en-US"/>
        </w:rPr>
        <w:t>Nota</w:t>
      </w:r>
      <w:r>
        <w:rPr>
          <w:rFonts w:ascii="Liberation Serif" w:eastAsia="Segoe UI" w:hAnsi="Liberation Serif"/>
          <w:i/>
          <w:iCs/>
          <w:color w:val="000000"/>
          <w:sz w:val="24"/>
          <w:lang w:bidi="en-US" w:eastAsia="en-US" w:val="en-US"/>
        </w:rPr>
        <w:t xml:space="preserve"> </w:t>
      </w:r>
      <w:r>
        <w:rPr>
          <w:rFonts w:ascii="Liberation Serif" w:eastAsia="Segoe UI" w:hAnsi="Liberation Serif"/>
          <w:b/>
          <w:bCs/>
          <w:i/>
          <w:iCs/>
          <w:color w:val="00000A"/>
          <w:sz w:val="24"/>
          <w:lang w:bidi="en-US" w:eastAsia="en-US" w:val="en-US"/>
        </w:rPr>
        <w:t>explicativa</w:t>
      </w:r>
      <w:r>
        <w:rPr>
          <w:rFonts w:ascii="Liberation Serif" w:eastAsia="Segoe UI" w:hAnsi="Liberation Serif"/>
          <w:i/>
          <w:iCs/>
          <w:color w:val="000000"/>
          <w:sz w:val="24"/>
          <w:lang w:bidi="en-US" w:eastAsia="en-US" w:val="en-US"/>
        </w:rPr>
        <w:t>: Nesse momento, deve haver a checagem da manutenção de todas as condições de habilitação, não se limitando apenas à consulta ao SICAF.</w:t>
      </w:r>
    </w:p>
    <w:p>
      <w:r>
        <w:rPr/>
      </w:r>
    </w:p>
    <w:p>
      <w:r>
        <w:rPr/>
      </w:r>
    </w:p>
    <w:p>
      <w:r>
        <w:rPr/>
      </w:r>
    </w:p>
    <w:p>
      <w:r>
        <w:rPr/>
      </w:r>
    </w:p>
    <w:p>
      <w:r>
        <w:rPr/>
      </w:r>
    </w:p>
    <w:p>
      <w:r>
        <w:rPr/>
      </w:r>
    </w:p>
    <w:p>
      <w:r>
        <w:rPr/>
      </w:r>
    </w:p>
  </w:comment>
  <w:comment w:author="Autor" w:date="0-00-00T00:00:00Z" w:id="18" w:initials="A">
    <w:p>
      <w:r>
        <w:rPr>
          <w:rFonts w:ascii="Liberation Serif" w:eastAsia="Segoe UI" w:hAnsi="Liberation Serif"/>
          <w:b/>
          <w:bCs/>
          <w:i/>
          <w:iCs/>
          <w:color w:val="00000A"/>
          <w:sz w:val="24"/>
          <w:lang w:bidi="en-US" w:eastAsia="en-US" w:val="en-US"/>
        </w:rPr>
        <w:t>Nota Explicativa:</w:t>
      </w:r>
      <w:r>
        <w:rPr>
          <w:rFonts w:ascii="Liberation Serif" w:eastAsia="Segoe UI" w:hAnsi="Liberation Serif"/>
          <w:i/>
          <w:iCs/>
          <w:color w:val="00000A"/>
          <w:sz w:val="24"/>
          <w:lang w:bidi="en-US" w:eastAsia="en-US" w:val="en-US"/>
        </w:rPr>
        <w:t xml:space="preserve"> Nos termos do art. 156, §3º da Lei nº 14.133, de 2021, a multa deve ser prevista em percentual entre 0,5% e 30% do valor do contrato.</w:t>
      </w:r>
    </w:p>
    <w:p>
      <w:r>
        <w:rPr/>
      </w:r>
    </w:p>
    <w:p>
      <w:r>
        <w:rPr/>
      </w:r>
    </w:p>
    <w:p>
      <w:r>
        <w:rPr/>
      </w:r>
    </w:p>
    <w:p>
      <w:r>
        <w:rPr/>
      </w:r>
    </w:p>
    <w:p>
      <w:r>
        <w:rPr/>
      </w:r>
    </w:p>
    <w:p>
      <w:r>
        <w:rPr/>
      </w:r>
    </w:p>
    <w:p>
      <w:r>
        <w:rPr/>
      </w:r>
    </w:p>
  </w:comment>
  <w:comment w:author="Autor" w:date="0-00-00T00:00:00Z" w:id="19" w:initials="A">
    <w:p>
      <w:r>
        <w:rPr>
          <w:rFonts w:ascii="Liberation Serif" w:eastAsia="Segoe UI" w:hAnsi="Liberation Serif"/>
          <w:b/>
          <w:bCs/>
          <w:i/>
          <w:iCs/>
          <w:color w:val="000000"/>
          <w:sz w:val="24"/>
          <w:lang w:bidi="en-US" w:eastAsia="en-US" w:val="en-US"/>
        </w:rPr>
        <w:t>Nota explicativa 1:</w:t>
      </w:r>
      <w:r>
        <w:rPr>
          <w:rFonts w:ascii="Liberation Serif" w:eastAsia="Segoe UI" w:hAnsi="Liberation Serif"/>
          <w:i/>
          <w:iCs/>
          <w:color w:val="000000"/>
          <w:sz w:val="24"/>
          <w:lang w:bidi="en-US" w:eastAsia="en-US" w:val="en-US"/>
        </w:rPr>
        <w:t xml:space="preserve"> É fundamental que a Administração observe que exigências excessivas poderão prejudicar a competitividade do processo de contratação direta e ofender o disposto no art. 37, XXI da Constituição Federal, o qual preceitua que “o processo de licitação pública [...]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e a essencialidade do objeto a ser adquirido e os riscos decorrentes do seu não fornecimento em função de eventual incapacidade econômica da contratada em suportar adversidades contratuais, excluindo-se o que se entender excessivo. </w:t>
      </w:r>
    </w:p>
    <w:p>
      <w:r>
        <w:rPr>
          <w:rFonts w:ascii="Liberation Serif" w:eastAsia="Segoe UI" w:hAnsi="Liberation Serif"/>
          <w:i/>
          <w:iCs/>
          <w:color w:val="000000"/>
          <w:sz w:val="24"/>
          <w:lang w:bidi="en-US" w:eastAsia="en-US" w:val="en-US"/>
        </w:rPr>
        <w:t>Em dispensa eletrônica dividida em itens, as exigências de habilitação podem adequar-se a essa divisibilidade, sendo possível, em um mesmo aviso, a exigência de requisitos de habilitação mais amplos somente para alguns itens. Para tanto, basta acrescentar uma ressalva ao final na exigência pertinente, tal como “(exigência relativa somente aos itens ...., ...., .....)”.</w:t>
      </w:r>
    </w:p>
    <w:p>
      <w:r>
        <w:rPr>
          <w:rFonts w:ascii="Liberation Serif" w:eastAsia="Segoe UI" w:hAnsi="Liberation Serif"/>
          <w:b/>
          <w:bCs/>
          <w:i/>
          <w:iCs/>
          <w:color w:val="000000"/>
          <w:sz w:val="24"/>
          <w:lang w:bidi="en-US" w:eastAsia="en-US" w:val="en-US"/>
        </w:rPr>
        <w:t>Nota Explicativa 2:</w:t>
      </w:r>
      <w:r>
        <w:rPr>
          <w:rFonts w:ascii="Liberation Serif" w:eastAsia="Segoe UI" w:hAnsi="Liberation Serif"/>
          <w:i/>
          <w:iCs/>
          <w:color w:val="000000"/>
          <w:sz w:val="24"/>
          <w:lang w:bidi="en-US" w:eastAsia="en-US" w:val="en-US"/>
        </w:rPr>
        <w:t xml:space="preserve"> Deve-se atentar para o fato de que, conforme o art. 20 da Instrução Normativa Seges/ME n.º 67/2021, </w:t>
      </w:r>
      <w:r>
        <w:rPr>
          <w:rFonts w:ascii="Liberation Serif" w:eastAsia="Segoe UI" w:hAnsi="Liberation Serif"/>
          <w:b/>
          <w:bCs/>
          <w:i/>
          <w:iCs/>
          <w:color w:val="000000"/>
          <w:sz w:val="24"/>
          <w:lang w:bidi="en-US" w:eastAsia="en-US" w:val="en-US"/>
        </w:rPr>
        <w:t>a)</w:t>
      </w:r>
      <w:r>
        <w:rPr>
          <w:rFonts w:ascii="Liberation Serif" w:eastAsia="Segoe UI" w:hAnsi="Liberation Serif"/>
          <w:i/>
          <w:iCs/>
          <w:color w:val="000000"/>
          <w:sz w:val="24"/>
          <w:lang w:bidi="en-US" w:eastAsia="en-US" w:val="en-US"/>
        </w:rPr>
        <w:t xml:space="preserve"> no caso de contratações para entrega imediata, considerada aquela com prazo de entrega de até 30 (trinta) dias da ordem de fornecimento; </w:t>
      </w:r>
      <w:r>
        <w:rPr>
          <w:rFonts w:ascii="Liberation Serif" w:eastAsia="Segoe UI" w:hAnsi="Liberation Serif"/>
          <w:b/>
          <w:bCs/>
          <w:i/>
          <w:iCs/>
          <w:color w:val="000000"/>
          <w:sz w:val="24"/>
          <w:lang w:bidi="en-US" w:eastAsia="en-US" w:val="en-US"/>
        </w:rPr>
        <w:t>b)</w:t>
      </w:r>
      <w:r>
        <w:rPr>
          <w:rFonts w:ascii="Liberation Serif" w:eastAsia="Segoe UI" w:hAnsi="Liberation Serif"/>
          <w:i/>
          <w:iCs/>
          <w:color w:val="000000"/>
          <w:sz w:val="24"/>
          <w:lang w:bidi="en-US" w:eastAsia="en-US" w:val="en-US"/>
        </w:rPr>
        <w:t xml:space="preserve"> nas contratações com valores inferiores a 1/4 (um quarto) do limite para dispensa de licitação para compras em geral; e </w:t>
      </w:r>
      <w:r>
        <w:rPr>
          <w:rFonts w:ascii="Liberation Serif" w:eastAsia="Segoe UI" w:hAnsi="Liberation Serif"/>
          <w:b/>
          <w:bCs/>
          <w:i/>
          <w:iCs/>
          <w:color w:val="000000"/>
          <w:sz w:val="24"/>
          <w:lang w:bidi="en-US" w:eastAsia="en-US" w:val="en-US"/>
        </w:rPr>
        <w:t>c)</w:t>
      </w:r>
      <w:r>
        <w:rPr>
          <w:rFonts w:ascii="Liberation Serif" w:eastAsia="Segoe UI" w:hAnsi="Liberation Serif"/>
          <w:i/>
          <w:iCs/>
          <w:color w:val="000000"/>
          <w:sz w:val="24"/>
          <w:lang w:bidi="en-US" w:eastAsia="en-US" w:val="en-US"/>
        </w:rPr>
        <w:t xml:space="preserve"> nas contratações de produto para pesquisa e desenvolvimento de que trata a alínea “c” do inciso IV do art. 75 da Lei nº14.133, de 2021, somente será exigida das pessoas jurídicas a comprovação da regularidade fiscal federal, social e trabalhista e, das pessoas físicas, a quitação com a Fazenda Federal. </w:t>
      </w:r>
    </w:p>
    <w:p>
      <w:r>
        <w:rPr>
          <w:rFonts w:ascii="Liberation Serif" w:eastAsia="Segoe UI" w:hAnsi="Liberation Serif"/>
          <w:i/>
          <w:iCs/>
          <w:color w:val="000000"/>
          <w:sz w:val="24"/>
          <w:lang w:bidi="en-US" w:eastAsia="en-US" w:val="en-US"/>
        </w:rPr>
        <w:t xml:space="preserve">Nas situações acima, as exigências de habilitação previstas neste Aviso de Contratação Direta deverão ser adequadas às previsões normativas mencionadas. </w:t>
      </w:r>
    </w:p>
    <w:p>
      <w:r>
        <w:rPr/>
      </w:r>
    </w:p>
    <w:p>
      <w:r>
        <w:rPr/>
      </w:r>
    </w:p>
    <w:p>
      <w:r>
        <w:rPr/>
      </w:r>
    </w:p>
    <w:p>
      <w:r>
        <w:rPr/>
      </w:r>
    </w:p>
    <w:p>
      <w:r>
        <w:rPr/>
      </w:r>
    </w:p>
    <w:p>
      <w:r>
        <w:rPr/>
      </w:r>
    </w:p>
    <w:p>
      <w:r>
        <w:rPr/>
      </w:r>
    </w:p>
  </w:comment>
  <w:comment w:author="Autor" w:date="0-00-00T00:00:00Z" w:id="20"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eastAsia="Segoe UI" w:hAnsi="Liberation Serif"/>
          <w:i/>
          <w:iCs/>
          <w:color w:val="000000"/>
          <w:sz w:val="24"/>
          <w:lang w:bidi="en-US" w:eastAsia="en-US" w:val="en-US"/>
        </w:rPr>
        <w:t xml:space="preserve">A IN Seges/ME nº 116, de 21 de dezembro de 2021, determina, ainda, em seu art. 4º, caput, que os editais ou os avisos de contratação direta possibilitem a contratação das pessoas físicas, em observância aos objetivos da isonomia e da justa competição.  De acordo com o parágrafo único desse mesmo dispositivo, será ressalvada a participação de pessoas físicas nas licitações ou contratações diretas, “quando a contratação exigir </w:t>
      </w:r>
      <w:r>
        <w:rPr>
          <w:rFonts w:ascii="Liberation Serif" w:eastAsia="Segoe UI" w:hAnsi="Liberation Serif"/>
          <w:b/>
          <w:bCs/>
          <w:i/>
          <w:iCs/>
          <w:color w:val="000000"/>
          <w:sz w:val="24"/>
          <w:lang w:bidi="en-US" w:eastAsia="en-US" w:val="en-US"/>
        </w:rPr>
        <w:t>capital social mínimo</w:t>
      </w:r>
      <w:r>
        <w:rPr>
          <w:rFonts w:ascii="Liberation Serif" w:eastAsia="Segoe UI" w:hAnsi="Liberation Serif"/>
          <w:i/>
          <w:iCs/>
          <w:color w:val="000000"/>
          <w:sz w:val="24"/>
          <w:lang w:bidi="en-US" w:eastAsia="en-US" w:val="en-US"/>
        </w:rPr>
        <w:t xml:space="preserve"> e </w:t>
      </w:r>
      <w:r>
        <w:rPr>
          <w:rFonts w:ascii="Liberation Serif" w:eastAsia="Segoe UI" w:hAnsi="Liberation Serif"/>
          <w:b/>
          <w:bCs/>
          <w:i/>
          <w:iCs/>
          <w:color w:val="000000"/>
          <w:sz w:val="24"/>
          <w:lang w:bidi="en-US" w:eastAsia="en-US" w:val="en-US"/>
        </w:rPr>
        <w:t>estrutura mínima</w:t>
      </w:r>
      <w:r>
        <w:rPr>
          <w:rFonts w:ascii="Liberation Serif" w:eastAsia="Segoe UI" w:hAnsi="Liberation Serif"/>
          <w:i/>
          <w:iCs/>
          <w:color w:val="000000"/>
          <w:sz w:val="24"/>
          <w:lang w:bidi="en-US" w:eastAsia="en-US" w:val="en-US"/>
        </w:rPr>
        <w:t xml:space="preserve">, com equipamentos, instalações e equipe de profissionais ou corpo técnico para a execução do objeto </w:t>
      </w:r>
      <w:r>
        <w:rPr>
          <w:rFonts w:ascii="Liberation Serif" w:eastAsia="Segoe UI" w:hAnsi="Liberation Serif"/>
          <w:b/>
          <w:bCs/>
          <w:i/>
          <w:iCs/>
          <w:color w:val="000000"/>
          <w:sz w:val="24"/>
          <w:lang w:bidi="en-US" w:eastAsia="en-US" w:val="en-US"/>
        </w:rPr>
        <w:t>incompatíveis com a natureza profissional da pessoa física</w:t>
      </w:r>
      <w:r>
        <w:rPr>
          <w:rFonts w:ascii="Liberation Serif" w:eastAsia="Segoe UI" w:hAnsi="Liberation Serif"/>
          <w:i/>
          <w:iCs/>
          <w:color w:val="000000"/>
          <w:sz w:val="24"/>
          <w:lang w:bidi="en-US" w:eastAsia="en-US" w:val="en-US"/>
        </w:rPr>
        <w:t xml:space="preserve">, conforme </w:t>
      </w:r>
      <w:r>
        <w:rPr>
          <w:rFonts w:ascii="Liberation Serif" w:eastAsia="Segoe UI" w:hAnsi="Liberation Serif"/>
          <w:b/>
          <w:bCs/>
          <w:i/>
          <w:iCs/>
          <w:color w:val="000000"/>
          <w:sz w:val="24"/>
          <w:lang w:bidi="en-US" w:eastAsia="en-US" w:val="en-US"/>
        </w:rPr>
        <w:t>demonstrado em estudo técnico preliminar</w:t>
      </w:r>
      <w:r>
        <w:rPr>
          <w:rFonts w:ascii="Liberation Serif" w:eastAsia="Segoe UI" w:hAnsi="Liberation Serif"/>
          <w:i/>
          <w:iCs/>
          <w:color w:val="000000"/>
          <w:sz w:val="24"/>
          <w:lang w:bidi="en-US" w:eastAsia="en-US" w:val="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eastAsia="Segoe UI" w:hAnsi="Liberation Serif"/>
          <w:i/>
          <w:iCs/>
          <w:color w:val="000000"/>
          <w:sz w:val="24"/>
          <w:lang w:bidi="en-US" w:eastAsia="en-US" w:val="en-US"/>
        </w:rPr>
        <w:t xml:space="preserve">O </w:t>
      </w:r>
      <w:r>
        <w:rPr>
          <w:rFonts w:ascii="Liberation Serif" w:eastAsia="Segoe UI" w:hAnsi="Liberation Serif"/>
          <w:i/>
          <w:iCs/>
          <w:color w:val="00000A"/>
          <w:sz w:val="24"/>
          <w:lang w:bidi="en-US" w:eastAsia="en-US" w:val="en-US"/>
        </w:rPr>
        <w:t xml:space="preserve">Decreto n.º 10.977, de 23 de fevereiro de 2022, que regulamenta a Lei nº 7.116, de 29 de agosto de 1983, e a Lei nº 9.454, de 7 de abril de 1997, estabelece, em seu art. 3º, que a </w:t>
      </w:r>
      <w:r>
        <w:rPr>
          <w:rFonts w:ascii="Liberation Serif" w:eastAsia="Segoe UI" w:hAnsi="Liberation Serif"/>
          <w:i/>
          <w:iCs/>
          <w:color w:val="000000"/>
          <w:sz w:val="24"/>
          <w:lang w:bidi="en-US" w:eastAsia="en-US" w:val="en-US"/>
        </w:rPr>
        <w:t>Carteira de Identidade passa a adotar o número de inscrição no Cadastro de Pessoas Físicas - CPF como o número do registro geral nacional previsto no inciso IV do </w:t>
      </w:r>
      <w:r>
        <w:rPr>
          <w:rFonts w:ascii="Liberation Serif" w:eastAsia="Segoe UI" w:hAnsi="Liberation Serif"/>
          <w:b/>
          <w:bCs/>
          <w:i/>
          <w:iCs/>
          <w:color w:val="000000"/>
          <w:sz w:val="24"/>
          <w:lang w:bidi="en-US" w:eastAsia="en-US" w:val="en-US"/>
        </w:rPr>
        <w:t>caput </w:t>
      </w:r>
      <w:r>
        <w:rPr>
          <w:rFonts w:ascii="Liberation Serif" w:eastAsia="Segoe UI" w:hAnsi="Liberation Serif"/>
          <w:i/>
          <w:iCs/>
          <w:color w:val="000000"/>
          <w:sz w:val="24"/>
          <w:lang w:bidi="en-US" w:eastAsia="en-US" w:val="en-US"/>
        </w:rPr>
        <w:t>do art. 11 do Decreto</w:t>
      </w:r>
    </w:p>
    <w:p>
      <w:r>
        <w:rPr/>
      </w:r>
    </w:p>
    <w:p>
      <w:r>
        <w:rPr/>
      </w:r>
    </w:p>
    <w:p>
      <w:r>
        <w:rPr/>
      </w:r>
    </w:p>
    <w:p>
      <w:r>
        <w:rPr/>
      </w:r>
    </w:p>
    <w:p>
      <w:r>
        <w:rPr/>
      </w:r>
    </w:p>
    <w:p>
      <w:r>
        <w:rPr/>
      </w:r>
    </w:p>
    <w:p>
      <w:r>
        <w:rPr/>
      </w:r>
    </w:p>
  </w:comment>
  <w:comment w:author="Autor" w:date="0-00-00T00:00:00Z" w:id="21"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r>
        <w:rPr>
          <w:rFonts w:ascii="Liberation Serif" w:eastAsia="Segoe UI" w:hAnsi="Liberation Serif"/>
          <w:i/>
          <w:iCs/>
          <w:color w:val="000000"/>
          <w:sz w:val="24"/>
          <w:lang w:bidi="en-US" w:eastAsia="en-US" w:val="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p>
      <w:r>
        <w:rPr/>
      </w:r>
    </w:p>
    <w:p>
      <w:r>
        <w:rPr/>
      </w:r>
    </w:p>
    <w:p>
      <w:r>
        <w:rPr/>
      </w:r>
    </w:p>
    <w:p>
      <w:r>
        <w:rPr/>
      </w:r>
    </w:p>
    <w:p>
      <w:r>
        <w:rPr/>
      </w:r>
    </w:p>
    <w:p>
      <w:r>
        <w:rPr/>
      </w:r>
    </w:p>
    <w:p>
      <w:r>
        <w:rPr/>
      </w:r>
    </w:p>
  </w:comment>
  <w:comment w:author="Autor" w:date="0-00-00T00:00:00Z" w:id="22"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Este subitem tem como fundamento a parte final do disposto no art. 66 da Lei n 14.133, de 2021. Cabe ao órgão ou entidade analisar se a atividade relativa ao objeto a ser contratado exige registro ou autorização para funcionamento, em razão de previsão legal ou normativa. Em caso positivo, deverão ser especificados o documento a ser apresentado, o órgão competente para expedi-lo e o respectivo fundamento legal. Cite-se, como exemplo, a necessidade de registro de pessoas físicas ou jurídicas no Exército, com vistas ao exercício de qualquer atividade relativa a Produto Controlado pelo Exército (PCE), tais como a fabricação, o comércio, a importação, a exportação, a utilização e a prestação de serviços envolvendo arma </w:t>
      </w:r>
      <w:r>
        <w:rPr>
          <w:rFonts w:ascii="Liberation Serif" w:eastAsia="Segoe UI" w:hAnsi="Liberation Serif"/>
          <w:color w:val="000000"/>
          <w:sz w:val="24"/>
          <w:lang w:bidi="en-US" w:eastAsia="en-US" w:val="en-US"/>
        </w:rPr>
        <w:t>de fogo, explosivo, munição, dentre outros.</w:t>
      </w:r>
    </w:p>
    <w:p>
      <w:r>
        <w:rPr/>
      </w:r>
    </w:p>
    <w:p>
      <w:r>
        <w:rPr/>
      </w:r>
    </w:p>
    <w:p>
      <w:r>
        <w:rPr/>
      </w:r>
    </w:p>
    <w:p>
      <w:r>
        <w:rPr/>
      </w:r>
    </w:p>
    <w:p>
      <w:r>
        <w:rPr/>
      </w:r>
    </w:p>
    <w:p>
      <w:r>
        <w:rPr/>
      </w:r>
    </w:p>
    <w:p>
      <w:r>
        <w:rPr/>
      </w:r>
    </w:p>
  </w:comment>
  <w:comment w:author="Autor" w:date="0-00-00T00:00:00Z" w:id="23"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Incluir este subitem caso admitida a participação de pessoas físicas no processo de contratação direta.</w:t>
      </w:r>
    </w:p>
    <w:p>
      <w:r>
        <w:rPr/>
      </w:r>
    </w:p>
    <w:p>
      <w:r>
        <w:rPr/>
      </w:r>
    </w:p>
    <w:p>
      <w:r>
        <w:rPr/>
      </w:r>
    </w:p>
    <w:p>
      <w:r>
        <w:rPr/>
      </w:r>
    </w:p>
    <w:p>
      <w:r>
        <w:rPr/>
      </w:r>
    </w:p>
    <w:p>
      <w:r>
        <w:rPr/>
      </w:r>
    </w:p>
    <w:p>
      <w:r>
        <w:rPr/>
      </w:r>
    </w:p>
  </w:comment>
  <w:comment w:author="Autor" w:date="0-00-00T00:00:00Z" w:id="24" w:initials="A">
    <w:p>
      <w:r>
        <w:rPr>
          <w:rFonts w:ascii="Liberation Serif" w:eastAsia="Segoe UI" w:hAnsi="Liberation Serif"/>
          <w:b/>
          <w:bCs/>
          <w:i/>
          <w:iCs/>
          <w:color w:val="00000A"/>
          <w:sz w:val="24"/>
          <w:lang w:bidi="en-US" w:eastAsia="en-US" w:val="en-US"/>
        </w:rPr>
        <w:t xml:space="preserve">Nota Explicativa: </w:t>
      </w:r>
      <w:r>
        <w:rPr>
          <w:rFonts w:ascii="Liberation Serif" w:eastAsia="Segoe UI" w:hAnsi="Liberation Serif"/>
          <w:i/>
          <w:iCs/>
          <w:color w:val="000000"/>
          <w:sz w:val="24"/>
          <w:lang w:bidi="en-US" w:eastAsia="en-US" w:val="en-US"/>
        </w:rPr>
        <w:t>A apresentação do Certificado de Condição de Microempreendedor Individual – CCMEI supre as exigências de inscrição nos cadastros fiscais, na medida em que essas informações constam no próprio Certificado.</w:t>
      </w:r>
    </w:p>
    <w:p>
      <w:r>
        <w:rPr/>
      </w:r>
    </w:p>
    <w:p>
      <w:r>
        <w:rPr/>
      </w:r>
    </w:p>
    <w:p>
      <w:r>
        <w:rPr/>
      </w:r>
    </w:p>
    <w:p>
      <w:r>
        <w:rPr/>
      </w:r>
    </w:p>
    <w:p>
      <w:r>
        <w:rPr/>
      </w:r>
    </w:p>
    <w:p>
      <w:r>
        <w:rPr/>
      </w:r>
    </w:p>
    <w:p>
      <w:r>
        <w:rPr/>
      </w:r>
    </w:p>
  </w:comment>
  <w:comment w:author="Autor" w:date="0-00-00T00:00:00Z" w:id="25"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O artigo 193 do CTN preceitua que a prova da quitação de todos os tributos devidos dar-se-á no âmbito da Fazenda Pública </w:t>
      </w:r>
      <w:r>
        <w:rPr>
          <w:rFonts w:ascii="Liberation Serif" w:eastAsia="Segoe UI" w:hAnsi="Liberation Serif"/>
          <w:b/>
          <w:bCs/>
          <w:i/>
          <w:iCs/>
          <w:color w:val="000000"/>
          <w:sz w:val="24"/>
          <w:lang w:bidi="en-US" w:eastAsia="en-US" w:val="en-US"/>
        </w:rPr>
        <w:t>interessada</w:t>
      </w:r>
      <w:r>
        <w:rPr>
          <w:rFonts w:ascii="Liberation Serif" w:eastAsia="Segoe UI" w:hAnsi="Liberation Serif"/>
          <w:i/>
          <w:iCs/>
          <w:color w:val="000000"/>
          <w:sz w:val="24"/>
          <w:lang w:bidi="en-US" w:eastAsia="en-US" w:val="en-US"/>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p>
      <w:r>
        <w:rPr/>
      </w:r>
    </w:p>
    <w:p>
      <w:r>
        <w:rPr/>
      </w:r>
    </w:p>
    <w:p>
      <w:r>
        <w:rPr/>
      </w:r>
    </w:p>
    <w:p>
      <w:r>
        <w:rPr/>
      </w:r>
    </w:p>
    <w:p>
      <w:r>
        <w:rPr/>
      </w:r>
    </w:p>
    <w:p>
      <w:r>
        <w:rPr/>
      </w:r>
    </w:p>
    <w:p>
      <w:r>
        <w:rPr/>
      </w:r>
    </w:p>
  </w:comment>
  <w:comment w:author="Autor" w:date="0-00-00T00:00:00Z" w:id="26"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p>
      <w:r>
        <w:rPr/>
      </w:r>
    </w:p>
    <w:p>
      <w:r>
        <w:rPr/>
      </w:r>
    </w:p>
    <w:p>
      <w:r>
        <w:rPr/>
      </w:r>
    </w:p>
    <w:p>
      <w:r>
        <w:rPr/>
      </w:r>
    </w:p>
    <w:p>
      <w:r>
        <w:rPr/>
      </w:r>
    </w:p>
    <w:p>
      <w:r>
        <w:rPr/>
      </w:r>
    </w:p>
    <w:p>
      <w:r>
        <w:rPr/>
      </w:r>
    </w:p>
  </w:comment>
  <w:comment w:author="Autor" w:date="0-00-00T00:00:00Z" w:id="27"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p>
      <w:r>
        <w:rPr/>
      </w:r>
    </w:p>
    <w:p>
      <w:r>
        <w:rPr/>
      </w:r>
    </w:p>
    <w:p>
      <w:r>
        <w:rPr/>
      </w:r>
    </w:p>
    <w:p>
      <w:r>
        <w:rPr/>
      </w:r>
    </w:p>
    <w:p>
      <w:r>
        <w:rPr/>
      </w:r>
    </w:p>
    <w:p>
      <w:r>
        <w:rPr/>
      </w:r>
    </w:p>
    <w:p>
      <w:r>
        <w:rPr/>
      </w:r>
    </w:p>
  </w:comment>
  <w:comment w:author="Autor" w:date="0-00-00T00:00:00Z" w:id="28"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Diante das informações constantes do balanço patrimonial e das demonstrações contábeis exigidas, é possível realizar o cálculo de diferentes índices, a partir dos quais poderá ser evidenciada e analisada, objetivamente, a situação econômica ou financeira da empresa.</w:t>
      </w:r>
    </w:p>
    <w:p>
      <w:r>
        <w:rPr>
          <w:rFonts w:ascii="Liberation Serif" w:eastAsia="Segoe UI" w:hAnsi="Liberation Serif"/>
          <w:i/>
          <w:iCs/>
          <w:color w:val="000000"/>
          <w:sz w:val="24"/>
          <w:lang w:bidi="en-US" w:eastAsia="en-US" w:val="en-US"/>
        </w:rPr>
        <w:t>Prevê o caput do artigo 69 da Lei n.º 14.133, de 2021 que a habilitação econômico-financeira dos licitantes deverá ser comprovada “</w:t>
      </w:r>
      <w:r>
        <w:rPr>
          <w:rFonts w:ascii="Liberation Serif" w:eastAsia="Segoe UI" w:hAnsi="Liberation Serif"/>
          <w:b/>
          <w:bCs/>
          <w:i/>
          <w:iCs/>
          <w:color w:val="000000"/>
          <w:sz w:val="24"/>
          <w:lang w:bidi="en-US" w:eastAsia="en-US" w:val="en-US"/>
        </w:rPr>
        <w:t>de forma objetiva</w:t>
      </w:r>
      <w:r>
        <w:rPr>
          <w:rFonts w:ascii="Liberation Serif" w:eastAsia="Segoe UI" w:hAnsi="Liberation Serif"/>
          <w:i/>
          <w:iCs/>
          <w:color w:val="000000"/>
          <w:sz w:val="24"/>
          <w:lang w:bidi="en-US" w:eastAsia="en-US" w:val="en-US"/>
        </w:rPr>
        <w:t xml:space="preserve">, por </w:t>
      </w:r>
      <w:r>
        <w:rPr>
          <w:rFonts w:ascii="Liberation Serif" w:eastAsia="Segoe UI" w:hAnsi="Liberation Serif"/>
          <w:b/>
          <w:bCs/>
          <w:i/>
          <w:iCs/>
          <w:color w:val="000000"/>
          <w:sz w:val="24"/>
          <w:lang w:bidi="en-US" w:eastAsia="en-US" w:val="en-US"/>
        </w:rPr>
        <w:t>coeficientes e índices econômicos</w:t>
      </w:r>
      <w:r>
        <w:rPr>
          <w:rFonts w:ascii="Liberation Serif" w:eastAsia="Segoe UI" w:hAnsi="Liberation Serif"/>
          <w:i/>
          <w:iCs/>
          <w:color w:val="000000"/>
          <w:sz w:val="24"/>
          <w:lang w:bidi="en-US" w:eastAsia="en-US" w:val="en-US"/>
        </w:rPr>
        <w:t xml:space="preserve"> previstos no edital, </w:t>
      </w:r>
      <w:r>
        <w:rPr>
          <w:rFonts w:ascii="Liberation Serif" w:eastAsia="Segoe UI" w:hAnsi="Liberation Serif"/>
          <w:b/>
          <w:bCs/>
          <w:i/>
          <w:iCs/>
          <w:color w:val="000000"/>
          <w:sz w:val="24"/>
          <w:lang w:bidi="en-US" w:eastAsia="en-US" w:val="en-US"/>
        </w:rPr>
        <w:t>devidamente justificados</w:t>
      </w:r>
      <w:r>
        <w:rPr>
          <w:rFonts w:ascii="Liberation Serif" w:eastAsia="Segoe UI" w:hAnsi="Liberation Serif"/>
          <w:i/>
          <w:iCs/>
          <w:color w:val="000000"/>
          <w:sz w:val="24"/>
          <w:lang w:bidi="en-US" w:eastAsia="en-US" w:val="en-US"/>
        </w:rPr>
        <w:t xml:space="preserve"> no processo licitatório”.</w:t>
      </w:r>
    </w:p>
    <w:p>
      <w:r>
        <w:rPr>
          <w:rFonts w:ascii="Liberation Serif" w:eastAsia="Segoe UI" w:hAnsi="Liberation Serif"/>
          <w:i/>
          <w:iCs/>
          <w:color w:val="000000"/>
          <w:sz w:val="24"/>
          <w:lang w:bidi="en-US" w:eastAsia="en-US" w:val="en-US"/>
        </w:rPr>
        <w:t>A Administração deverá indicar, no Aviso de Contratação Direta, os índices econômicos específicos que deverão ser comprovados pelo fornecedor, a fim de demonstrar que possui aptidão econômico-financeira para dar cumprimento às obrigações decorrentes do contrato administrativo a ser celebrado.</w:t>
      </w:r>
    </w:p>
    <w:p>
      <w:r>
        <w:rPr>
          <w:rFonts w:ascii="Liberation Serif" w:eastAsia="Segoe UI" w:hAnsi="Liberation Serif"/>
          <w:i/>
          <w:iCs/>
          <w:color w:val="000000"/>
          <w:sz w:val="24"/>
          <w:lang w:bidi="en-US" w:eastAsia="en-US" w:val="en-US"/>
        </w:rPr>
        <w:t xml:space="preserve"> A escolha dos índices deverá ser previamente justificada, na fase de planejamento da contratação, em especial no que se refere à adequação desses indicadores às obrigações que serão assumidas pelo futuro contratado, como determina, inclusive, o inciso IX, do art. 18 da Lei n.º 14.133, de 2021.</w:t>
      </w:r>
    </w:p>
    <w:p>
      <w:r>
        <w:rPr>
          <w:rFonts w:ascii="Liberation Serif" w:eastAsia="Segoe UI" w:hAnsi="Liberation Serif"/>
          <w:i/>
          <w:iCs/>
          <w:color w:val="000000"/>
          <w:sz w:val="24"/>
          <w:lang w:bidi="en-US" w:eastAsia="en-US" w:val="en-US"/>
        </w:rPr>
        <w:t xml:space="preserve">Ainda quanto aos índices, a Lei n.º 14.133, de 2021 veda expressamente “a exigência de valores mínimos de faturamento anterior e de índices de rentabilidade ou lucratividade” (art. 69, § 2º), bem como “a exigência de índices e valores não usualmente adotados para a avaliação de situação econômico-financeira suficiente para o cumprimento das obrigações decorrentes da licitação” (art. 69, § 5º), o que deverá ser observado pela Administração. </w:t>
      </w:r>
    </w:p>
    <w:p>
      <w:r>
        <w:rPr/>
      </w:r>
    </w:p>
    <w:p>
      <w:r>
        <w:rPr/>
      </w:r>
    </w:p>
    <w:p>
      <w:r>
        <w:rPr/>
      </w:r>
    </w:p>
    <w:p>
      <w:r>
        <w:rPr/>
      </w:r>
    </w:p>
    <w:p>
      <w:r>
        <w:rPr/>
      </w:r>
    </w:p>
    <w:p>
      <w:r>
        <w:rPr/>
      </w:r>
    </w:p>
    <w:p>
      <w:r>
        <w:rPr/>
      </w:r>
    </w:p>
  </w:comment>
  <w:comment w:author="Autor" w:date="0-00-00T00:00:00Z" w:id="29"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Consoante o art. 69, § 4º, da Lei n.º 14.133, de 2021, nas licitações destinadas às</w:t>
      </w:r>
      <w:r>
        <w:rPr>
          <w:rFonts w:ascii="Liberation Serif" w:eastAsia="Segoe UI" w:hAnsi="Liberation Serif"/>
          <w:b/>
          <w:bCs/>
          <w:i/>
          <w:iCs/>
          <w:color w:val="000000"/>
          <w:sz w:val="24"/>
          <w:lang w:bidi="en-US" w:eastAsia="en-US" w:val="en-US"/>
        </w:rPr>
        <w:t xml:space="preserve"> compras para entrega futura</w:t>
      </w:r>
      <w:r>
        <w:rPr>
          <w:rFonts w:ascii="Liberation Serif" w:eastAsia="Segoe UI" w:hAnsi="Liberation Serif"/>
          <w:i/>
          <w:iCs/>
          <w:color w:val="000000"/>
          <w:sz w:val="24"/>
          <w:lang w:bidi="en-US" w:eastAsia="en-US" w:val="en-US"/>
        </w:rPr>
        <w:t xml:space="preserve"> e à execução de obras e serviços, é possível a exigência, para fins de habilitação econômico-financeira, de comprovação de capital mínimo ou de patrimônio líquido mínimo dos fornecedores. Trata-se, nesse caso, de requisitos </w:t>
      </w:r>
      <w:r>
        <w:rPr>
          <w:rFonts w:ascii="Liberation Serif" w:eastAsia="Segoe UI" w:hAnsi="Liberation Serif"/>
          <w:b/>
          <w:bCs/>
          <w:i/>
          <w:iCs/>
          <w:color w:val="000000"/>
          <w:sz w:val="24"/>
          <w:lang w:bidi="en-US" w:eastAsia="en-US" w:val="en-US"/>
        </w:rPr>
        <w:t xml:space="preserve">complementares </w:t>
      </w:r>
      <w:r>
        <w:rPr>
          <w:rFonts w:ascii="Liberation Serif" w:eastAsia="Segoe UI" w:hAnsi="Liberation Serif"/>
          <w:i/>
          <w:iCs/>
          <w:color w:val="000000"/>
          <w:sz w:val="24"/>
          <w:lang w:bidi="en-US" w:eastAsia="en-US" w:val="en-US"/>
        </w:rPr>
        <w:t xml:space="preserve">àqueles já estabelecidos no caput do art. 69 da Lei n.º 14.133, de 2021, de modo que poderá a Administração exigir, além da apresentação de balanço patrimonial e demais demonstrações contábeis, do atendimento dos índices econômicos mínimos e da apresentação de certidão negativa de falência, a comprovação de capital social mínimo ou patrimônio líquido mínimo. </w:t>
      </w:r>
    </w:p>
    <w:p>
      <w:r>
        <w:rPr>
          <w:rFonts w:ascii="Liberation Serif" w:eastAsia="Segoe UI" w:hAnsi="Liberation Serif"/>
          <w:b/>
          <w:bCs/>
          <w:i/>
          <w:iCs/>
          <w:color w:val="000000"/>
          <w:sz w:val="24"/>
          <w:lang w:bidi="en-US" w:eastAsia="en-US" w:val="en-US"/>
        </w:rPr>
        <w:t>Nota Explicativa 2:</w:t>
      </w:r>
      <w:r>
        <w:rPr>
          <w:rFonts w:ascii="Liberation Serif" w:eastAsia="Segoe UI" w:hAnsi="Liberation Serif"/>
          <w:i/>
          <w:iCs/>
          <w:color w:val="000000"/>
          <w:sz w:val="24"/>
          <w:lang w:bidi="en-US" w:eastAsia="en-US" w:val="en-US"/>
        </w:rPr>
        <w:t xml:space="preserve"> A fixação do percentual referente ao capital mínimo ou patrimônio líquido mínimo, até o limite legal de 10% (dez por cento) do valor estimado da contratação, insere-se na esfera de atuação discricionária da Administração (art. 69, § 4º, da Lei nº 14.133, de 2021). Nada obstante, as razões de conveniência e oportunidade que levaram a Administração a decidir pela exigência dos requisitos complementares de habilitação de capital ou patrimônio líquido mínimo em cada caso concreto deverão constar do processo de contratação (art. 18, inciso IX, da Lei n.º 14.133, de 2021). Deve-se fixar percentual proporcional aos riscos que a inexecução total ou parcial do contrato poderá acarretar para a Administração, notadamente em face das peculiaridades do objeto licitado, do vulto da contratação, do tempo de duração do contrato, dentre outros elementos considerados pertinentes.</w:t>
      </w:r>
    </w:p>
    <w:p>
      <w:r>
        <w:rPr>
          <w:rFonts w:ascii="Liberation Serif" w:eastAsia="Segoe UI" w:hAnsi="Liberation Serif"/>
          <w:i/>
          <w:iCs/>
          <w:color w:val="000000"/>
          <w:sz w:val="24"/>
          <w:lang w:bidi="en-US" w:eastAsia="en-US" w:val="en-US"/>
        </w:rPr>
        <w:t xml:space="preserve">A sondagem do mercado afigura-se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 </w:t>
      </w:r>
    </w:p>
    <w:p>
      <w:r>
        <w:rPr/>
      </w:r>
    </w:p>
    <w:p>
      <w:r>
        <w:rPr/>
      </w:r>
    </w:p>
    <w:p>
      <w:r>
        <w:rPr/>
      </w:r>
    </w:p>
    <w:p>
      <w:r>
        <w:rPr/>
      </w:r>
    </w:p>
    <w:p>
      <w:r>
        <w:rPr/>
      </w:r>
    </w:p>
    <w:p>
      <w:r>
        <w:rPr/>
      </w:r>
    </w:p>
    <w:p>
      <w:r>
        <w:rPr/>
      </w:r>
    </w:p>
  </w:comment>
  <w:comment w:author="Autor" w:date="0-00-00T00:00:00Z" w:id="30"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 xml:space="preserve">A previsão deste subitem decorre do disposto no art. 69, §1º, da Lei nº 14.133, de 2021, e poderá ser adotada pela Administração mediante a apresentação das devidas justificativas no processo de contratação. </w:t>
      </w:r>
    </w:p>
    <w:p>
      <w:r>
        <w:rPr/>
      </w:r>
    </w:p>
    <w:p>
      <w:r>
        <w:rPr/>
      </w:r>
    </w:p>
    <w:p>
      <w:r>
        <w:rPr/>
      </w:r>
    </w:p>
    <w:p>
      <w:r>
        <w:rPr/>
      </w:r>
    </w:p>
    <w:p>
      <w:r>
        <w:rPr/>
      </w:r>
    </w:p>
    <w:p>
      <w:r>
        <w:rPr/>
      </w:r>
    </w:p>
    <w:p>
      <w:r>
        <w:rPr/>
      </w:r>
    </w:p>
  </w:comment>
  <w:comment w:author="Autor" w:date="0-00-00T00:00:00Z" w:id="31" w:initials="A">
    <w:p>
      <w:r>
        <w:rPr>
          <w:rFonts w:ascii="Liberation Serif" w:eastAsia="Segoe UI" w:hAnsi="Liberation Serif"/>
          <w:b/>
          <w:bCs/>
          <w:i/>
          <w:iCs/>
          <w:color w:val="000000"/>
          <w:sz w:val="24"/>
          <w:lang w:bidi="en-US" w:eastAsia="en-US" w:val="en-US"/>
        </w:rPr>
        <w:t xml:space="preserve">Nota Explicativa: </w:t>
      </w:r>
      <w:r>
        <w:rPr>
          <w:rFonts w:ascii="Liberation Serif" w:eastAsia="Segoe UI" w:hAnsi="Liberation Serif"/>
          <w:i/>
          <w:iCs/>
          <w:color w:val="000000"/>
          <w:sz w:val="24"/>
          <w:lang w:bidi="en-US" w:eastAsia="en-US" w:val="en-US"/>
        </w:rPr>
        <w:t xml:space="preserve">A previsão deste subitem decorre do disposto no art. 69, § 3º, da Lei nº 14.133, de 2021, e poderá ser adotada pela Administração mediante a apresentação das devidas justificativas no processo de contratação. A depender do vulto da contratação e das demais circunstâncias do caso concreto, essa exigência pode se mostrar pertinente, por exemplo, em situações de fornecimento contínuo de bens, em que a execução da prestação se prolongará ao longo do tempo.  </w:t>
      </w:r>
    </w:p>
    <w:p>
      <w:r>
        <w:rPr/>
      </w:r>
    </w:p>
    <w:p>
      <w:r>
        <w:rPr/>
      </w:r>
    </w:p>
    <w:p>
      <w:r>
        <w:rPr/>
      </w:r>
    </w:p>
    <w:p>
      <w:r>
        <w:rPr/>
      </w:r>
    </w:p>
    <w:p>
      <w:r>
        <w:rPr/>
      </w:r>
    </w:p>
    <w:p>
      <w:r>
        <w:rPr/>
      </w:r>
    </w:p>
    <w:p>
      <w:r>
        <w:rPr/>
      </w:r>
    </w:p>
  </w:comment>
  <w:comment w:author="Autor" w:date="0-00-00T00:00:00Z" w:id="32" w:initials="A">
    <w:p>
      <w:r>
        <w:rPr>
          <w:rFonts w:ascii="Liberation Serif" w:eastAsia="Segoe UI" w:hAnsi="Liberation Serif"/>
          <w:b/>
          <w:bCs/>
          <w:i/>
          <w:iCs/>
          <w:color w:val="000000"/>
          <w:sz w:val="24"/>
          <w:lang w:bidi="en-US" w:eastAsia="en-US" w:val="en-US"/>
        </w:rPr>
        <w:t>Nota Explicativa:</w:t>
      </w:r>
      <w:r>
        <w:rPr>
          <w:rFonts w:ascii="Liberation Serif" w:eastAsia="Segoe UI" w:hAnsi="Liberation Serif"/>
          <w:i/>
          <w:iCs/>
          <w:color w:val="000000"/>
          <w:sz w:val="24"/>
          <w:lang w:bidi="en-US" w:eastAsia="en-US" w:val="en-US"/>
        </w:rPr>
        <w:t xml:space="preserve"> Recomenda-se que haja a cópia dos requisitos de habilitação técnica e das regras pertinentes previstos no Termo de Referência para a contratação. Usualmente, não se orienta pela cópia de disposições em mais de um local, por risco de previsões conflitantes, mas, neste caso, entende-se por relevante que todas as disposições sobre habilitação estejam concentradas num mesmo local, respeitando-se a atribuição da área demandante de estabelecer os requisitos de qualificação técnica. Caso não haja previsão de regras aplicáveis para qualificação técnica no Termo de Referência, recomenda-se verificar com a área demandante se houve omissão na previsão de tais requisitos ou se houve dispensa proposital, fazendo-se as diligências porventura necessárias antes da publicação do Aviso de Contratação Direta.</w:t>
      </w:r>
    </w:p>
    <w:p>
      <w:r>
        <w:rPr/>
      </w:r>
    </w:p>
    <w:p>
      <w:r>
        <w:rPr/>
      </w:r>
    </w:p>
    <w:p>
      <w:r>
        <w:rPr/>
      </w:r>
    </w:p>
    <w:p>
      <w:r>
        <w:rPr/>
      </w:r>
    </w:p>
    <w:p>
      <w:r>
        <w:rPr/>
      </w:r>
    </w:p>
    <w:p>
      <w:r>
        <w:rPr/>
      </w:r>
    </w:p>
    <w:p>
      <w:r>
        <w:rPr/>
      </w:r>
    </w:p>
  </w:comment>
  <w:comment w:author="Autor" w:date="0-00-00T00:00:00Z" w:id="33" w:initials="A">
    <w:p>
      <w:r>
        <w:rPr>
          <w:rFonts w:ascii="Liberation Serif" w:eastAsia="Segoe UI" w:hAnsi="Liberation Serif"/>
          <w:b/>
          <w:bCs/>
          <w:color w:val="000000"/>
          <w:sz w:val="24"/>
          <w:lang w:bidi="en-US" w:eastAsia="en-US" w:val="en-US"/>
        </w:rPr>
        <w:t xml:space="preserve">Nota Explicativa: </w:t>
      </w:r>
      <w:r>
        <w:rPr>
          <w:rFonts w:ascii="Liberation Serif" w:eastAsia="Segoe UI" w:hAnsi="Liberation Serif"/>
          <w:color w:val="000000"/>
          <w:sz w:val="24"/>
          <w:lang w:bidi="en-US" w:eastAsia="en-US" w:val="en-US"/>
        </w:rPr>
        <w:t>Incluir este subitem nas situações em que o Termo de Referência tiver considerado a avaliação prévia do local de execução do serviço imprescindível para o conhecimento pleno das condições e peculiaridades do objeto a ser contratado, nos termos dos arts. 63, §§ 2º e 3º, da Lei nº 14.133/21. </w:t>
      </w:r>
    </w:p>
    <w:p>
      <w:r>
        <w:rPr/>
      </w:r>
    </w:p>
    <w:p>
      <w:r>
        <w:rPr/>
      </w:r>
    </w:p>
    <w:p>
      <w:r>
        <w:rPr/>
      </w:r>
    </w:p>
    <w:p>
      <w:r>
        <w:rPr/>
      </w:r>
    </w:p>
    <w:p>
      <w:r>
        <w:rPr/>
      </w:r>
    </w:p>
    <w:p>
      <w:r>
        <w:rPr/>
      </w:r>
    </w:p>
    <w:p>
      <w:r>
        <w:rPr/>
      </w:r>
    </w:p>
  </w:comment>
</w:comments>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 w:name="Liberation Sans">
    <w:altName w:val="Arial"/>
    <w:charset w:val="00"/>
    <w:family w:val="swiss"/>
    <w:pitch w:val="variable"/>
  </w:font>
  <w:font w:name="Calibri Light">
    <w:charset w:val="00"/>
    <w:family w:val="roman"/>
    <w:pitch w:val="variable"/>
  </w:font>
  <w:font w:name="Helvetica">
    <w:altName w:val="Arial"/>
    <w:charset w:val="00"/>
    <w:family w:val="roman"/>
    <w:pitch w:val="variable"/>
  </w:font>
  <w:font w:name="Liberation Serif">
    <w:altName w:val="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5"/>
      <w:rPr>
        <w:sz w:val="12"/>
        <w:szCs w:val="12"/>
      </w:rPr>
    </w:pPr>
    <w:r>
      <w:rPr>
        <w:sz w:val="12"/>
        <w:szCs w:val="12"/>
      </w:rPr>
    </w:r>
  </w:p>
  <w:p>
    <w:pPr>
      <w:pStyle w:val="style0"/>
      <w:tabs>
        <w:tab w:leader="none" w:pos="4550" w:val="center"/>
        <w:tab w:leader="none" w:pos="5818" w:val="left"/>
      </w:tabs>
      <w:ind w:hanging="0" w:left="0" w:right="260"/>
      <w:jc w:val="right"/>
      <w:rPr>
        <w:color w:val="323E4F"/>
        <w:sz w:val="18"/>
        <w:szCs w:val="18"/>
      </w:rPr>
    </w:pPr>
    <w:r>
      <w:rPr>
        <w:color w:val="8496B0"/>
        <w:spacing w:val="60"/>
        <w:sz w:val="18"/>
        <w:szCs w:val="18"/>
      </w:rPr>
      <w:t>Página</w:t>
    </w:r>
    <w:r>
      <w:rPr>
        <w:color w:val="8496B0"/>
        <w:sz w:val="18"/>
        <w:szCs w:val="18"/>
      </w:rPr>
      <w:t xml:space="preserve"> </w:t>
    </w:r>
    <w:r>
      <w:rPr>
        <w:color w:val="8496B0"/>
        <w:sz w:val="18"/>
        <w:szCs w:val="18"/>
      </w:rPr>
      <w:fldChar w:fldCharType="begin"/>
    </w:r>
    <w:r>
      <w:instrText> PAGE </w:instrText>
    </w:r>
    <w:r>
      <w:fldChar w:fldCharType="separate"/>
    </w:r>
    <w:r>
      <w:t>18</w:t>
    </w:r>
    <w:r>
      <w:fldChar w:fldCharType="end"/>
    </w:r>
    <w:r>
      <w:rPr>
        <w:color w:val="323E4F"/>
        <w:sz w:val="18"/>
        <w:szCs w:val="18"/>
      </w:rPr>
      <w:t xml:space="preserve"> | </w:t>
    </w:r>
    <w:r>
      <w:rPr>
        <w:color w:val="323E4F"/>
        <w:sz w:val="18"/>
        <w:szCs w:val="18"/>
      </w:rPr>
      <w:fldChar w:fldCharType="begin"/>
    </w:r>
    <w:r>
      <w:instrText> NUMPAGES </w:instrText>
    </w:r>
    <w:r>
      <w:fldChar w:fldCharType="separate"/>
    </w:r>
    <w:r>
      <w:t>18</w:t>
    </w:r>
    <w:r>
      <w:fldChar w:fldCharType="end"/>
    </w:r>
  </w:p>
  <w:p>
    <w:pPr>
      <w:pStyle w:val="style135"/>
      <w:rPr>
        <w:sz w:val="12"/>
        <w:szCs w:val="12"/>
      </w:rPr>
    </w:pPr>
    <w:r>
      <w:rPr>
        <w:sz w:val="12"/>
        <w:szCs w:val="12"/>
      </w:rPr>
    </w:r>
  </w:p>
  <w:p>
    <w:pPr>
      <w:pStyle w:val="style135"/>
      <w:rPr>
        <w:sz w:val="12"/>
        <w:szCs w:val="12"/>
      </w:rPr>
    </w:pPr>
    <w:r>
      <w:rPr>
        <w:sz w:val="12"/>
        <w:szCs w:val="12"/>
      </w:rPr>
      <w:t>Câmara Nacional de Modelos de Licitações e Contratos – CNMLC/CGU/AGU</w:t>
    </w:r>
  </w:p>
  <w:p>
    <w:pPr>
      <w:pStyle w:val="style135"/>
      <w:rPr>
        <w:sz w:val="12"/>
        <w:szCs w:val="12"/>
      </w:rPr>
    </w:pPr>
    <w:r>
      <w:rPr>
        <w:sz w:val="12"/>
        <w:szCs w:val="12"/>
      </w:rPr>
      <w:t>Aviso de Contratação Direta – Lei nº 14.133/21 e IN SEGES/ME nº 67/2021</w:t>
    </w:r>
  </w:p>
  <w:p>
    <w:pPr>
      <w:pStyle w:val="style135"/>
      <w:rPr>
        <w:sz w:val="12"/>
        <w:szCs w:val="12"/>
      </w:rPr>
    </w:pPr>
    <w:r>
      <w:rPr>
        <w:sz w:val="12"/>
        <w:szCs w:val="12"/>
      </w:rPr>
      <w:t>Versão: novembro/2022</w:t>
    </w:r>
  </w:p>
  <w:p>
    <w:pPr>
      <w:pStyle w:val="style135"/>
      <w:rPr>
        <w:sz w:val="12"/>
        <w:szCs w:val="12"/>
      </w:rPr>
    </w:pPr>
    <w:r>
      <w:rPr>
        <w:sz w:val="12"/>
        <w:szCs w:val="12"/>
      </w:rPr>
      <w:t>Aprovado pela Secretaria de Gestão.</w:t>
    </w:r>
  </w:p>
  <w:p>
    <w:pPr>
      <w:pStyle w:val="style135"/>
      <w:rPr>
        <w:sz w:val="12"/>
        <w:szCs w:val="12"/>
      </w:rPr>
    </w:pPr>
    <w:r>
      <w:rPr>
        <w:sz w:val="12"/>
        <w:szCs w:val="12"/>
      </w:rPr>
      <w:t>Identidade visual pela Secretaria de Gestão (versão novembro/2022)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4"/>
      <w:rPr/>
    </w:pPr>
    <w:r>
      <w:rPr/>
      <w:drawing>
        <wp:anchor allowOverlap="1" behindDoc="1" distB="0" distL="0" distR="0" distT="0" layoutInCell="1" locked="0" relativeHeight="0" simplePos="0">
          <wp:simplePos x="0" y="0"/>
          <wp:positionH relativeFrom="page">
            <wp:posOffset>-1080135</wp:posOffset>
          </wp:positionH>
          <wp:positionV relativeFrom="page">
            <wp:posOffset>0</wp:posOffset>
          </wp:positionV>
          <wp:extent cx="7560310" cy="10692130"/>
          <wp:effectExtent b="0" l="0" r="0" t="0"/>
          <wp:wrapNone/>
          <wp:docPr descr="Texto&#10;&#10;Descrição gerada automaticamente com confiança média"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Texto&#10;&#10;Descrição gerada automaticamente com confiança média" id="0" name="Picture"/>
                  <pic:cNvPicPr>
                    <a:picLocks noChangeArrowheads="1" noChangeAspect="1"/>
                  </pic:cNvPicPr>
                </pic:nvPicPr>
                <pic:blipFill>
                  <a:blip r:embed="rId1"/>
                  <a:srcRect/>
                  <a:stretch>
                    <a:fillRect/>
                  </a:stretch>
                </pic:blipFill>
                <pic:spPr bwMode="auto">
                  <a:xfrm>
                    <a:off x="0" y="0"/>
                    <a:ext cx="7560310" cy="10692130"/>
                  </a:xfrm>
                  <a:prstGeom prst="rect">
                    <a:avLst/>
                  </a:prstGeom>
                  <a:noFill/>
                  <a:ln w="9525">
                    <a:noFill/>
                    <a:miter lim="800000"/>
                    <a:headEnd/>
                    <a:tailEnd/>
                  </a:ln>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4"/>
      <w:rPr/>
    </w:pPr>
    <w:r>
      <w:rPr/>
    </w:r>
  </w:p>
  <w:p>
    <w:pPr>
      <w:pStyle w:val="style134"/>
      <w:rPr/>
    </w:pPr>
    <w:r>
      <w:rPr/>
    </w:r>
  </w:p>
  <w:p>
    <w:pPr>
      <w:pStyle w:val="style134"/>
      <w:rPr/>
    </w:pPr>
    <w:r>
      <w:rPr/>
    </w:r>
  </w:p>
  <w:p>
    <w:pPr>
      <w:pStyle w:val="style0"/>
      <w:jc w:val="right"/>
      <w:rPr>
        <w:rFonts w:cs="Arial"/>
        <w:bCs/>
        <w:color w:val="5B5B5F"/>
        <w:sz w:val="28"/>
        <w:szCs w:val="28"/>
      </w:rPr>
    </w:pPr>
    <w:r>
      <w:rPr/>
      <w:t xml:space="preserve">AVISO DE CONTRATAÇÃO DIRETA Nº </w:t>
    </w:r>
    <w:r>
      <w:rPr>
        <w:rFonts w:cs="Arial" w:eastAsia="Times New Roman"/>
        <w:bCs/>
        <w:color w:val="5B5B5F"/>
        <w:sz w:val="28"/>
        <w:szCs w:val="28"/>
        <w:lang w:bidi="ar-SA" w:eastAsia="pt-BR" w:val="pt-BR"/>
      </w:rPr>
      <w:t xml:space="preserve">   </w:t>
    </w:r>
    <w:r>
      <w:rPr>
        <w:rFonts w:cs="Arial"/>
        <w:bCs/>
        <w:color w:val="5B5B5F"/>
        <w:sz w:val="28"/>
        <w:szCs w:val="28"/>
      </w:rPr>
      <w:t>/2023</w:t>
    </w:r>
  </w:p>
  <w:p>
    <w:pPr>
      <w:pStyle w:val="style134"/>
      <w:jc w:val="right"/>
      <w:rPr/>
    </w:pPr>
    <w:r>
      <w:rPr/>
    </w:r>
  </w:p>
</w:hdr>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decimal"/>
      <w:lvlText w:val="%1."/>
      <w:lvlJc w:val="left"/>
      <w:pPr>
        <w:ind w:hanging="360" w:left="360"/>
      </w:pPr>
      <w:rPr>
        <w:b/>
      </w:rPr>
    </w:lvl>
    <w:lvl w:ilvl="1">
      <w:start w:val="1"/>
      <w:numFmt w:val="decimal"/>
      <w:lvlText w:val="%1.%2."/>
      <w:lvlJc w:val="left"/>
      <w:pPr>
        <w:ind w:hanging="432" w:left="858"/>
      </w:pPr>
      <w:rPr>
        <w:i w:val="false"/>
        <w:b/>
        <w:iCs/>
      </w:rPr>
    </w:lvl>
    <w:lvl w:ilvl="2">
      <w:start w:val="1"/>
      <w:numFmt w:val="decimal"/>
      <w:lvlText w:val="%1.%2.%3."/>
      <w:lvlJc w:val="left"/>
      <w:pPr>
        <w:ind w:hanging="504" w:left="1224"/>
      </w:pPr>
      <w:rPr>
        <w:color w:val="00000A"/>
        <w:i w:val="false"/>
        <w:b w:val="false"/>
        <w:iCs/>
      </w:r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lvl w:ilvl="0">
      <w:start w:val="4"/>
      <w:numFmt w:val="decimal"/>
      <w:lvlText w:val="%1"/>
      <w:lvlJc w:val="left"/>
      <w:pPr>
        <w:ind w:hanging="435" w:left="435"/>
      </w:pPr>
    </w:lvl>
    <w:lvl w:ilvl="1">
      <w:start w:val="4"/>
      <w:numFmt w:val="decimal"/>
      <w:lvlText w:val="%1.%2"/>
      <w:lvlJc w:val="left"/>
      <w:pPr>
        <w:ind w:hanging="435" w:left="1002"/>
      </w:pPr>
    </w:lvl>
    <w:lvl w:ilvl="2">
      <w:start w:val="1"/>
      <w:numFmt w:val="decimal"/>
      <w:lvlText w:val="%1.%2.%3"/>
      <w:lvlJc w:val="left"/>
      <w:pPr>
        <w:ind w:hanging="720" w:left="1854"/>
      </w:pPr>
    </w:lvl>
    <w:lvl w:ilvl="3">
      <w:start w:val="1"/>
      <w:numFmt w:val="decimal"/>
      <w:lvlText w:val="%1.%2.%3.%4"/>
      <w:lvlJc w:val="left"/>
      <w:pPr>
        <w:ind w:hanging="720" w:left="2421"/>
      </w:pPr>
    </w:lvl>
    <w:lvl w:ilvl="4">
      <w:start w:val="1"/>
      <w:numFmt w:val="decimal"/>
      <w:lvlText w:val="%1.%2.%3.%4.%5"/>
      <w:lvlJc w:val="left"/>
      <w:pPr>
        <w:ind w:hanging="1080" w:left="3348"/>
      </w:pPr>
    </w:lvl>
    <w:lvl w:ilvl="5">
      <w:start w:val="1"/>
      <w:numFmt w:val="decimal"/>
      <w:lvlText w:val="%1.%2.%3.%4.%5.%6"/>
      <w:lvlJc w:val="left"/>
      <w:pPr>
        <w:ind w:hanging="1080" w:left="3915"/>
      </w:pPr>
    </w:lvl>
    <w:lvl w:ilvl="6">
      <w:start w:val="1"/>
      <w:numFmt w:val="decimal"/>
      <w:lvlText w:val="%1.%2.%3.%4.%5.%6.%7"/>
      <w:lvlJc w:val="left"/>
      <w:pPr>
        <w:ind w:hanging="1440" w:left="4842"/>
      </w:pPr>
    </w:lvl>
    <w:lvl w:ilvl="7">
      <w:start w:val="1"/>
      <w:numFmt w:val="decimal"/>
      <w:lvlText w:val="%1.%2.%3.%4.%5.%6.%7.%8"/>
      <w:lvlJc w:val="left"/>
      <w:pPr>
        <w:ind w:hanging="1440" w:left="5409"/>
      </w:pPr>
    </w:lvl>
    <w:lvl w:ilvl="8">
      <w:start w:val="1"/>
      <w:numFmt w:val="decimal"/>
      <w:lvlText w:val="%1.%2.%3.%4.%5.%6.%7.%8.%9"/>
      <w:lvlJc w:val="left"/>
      <w:pPr>
        <w:ind w:hanging="1800" w:left="6336"/>
      </w:pPr>
    </w:lvl>
  </w:abstractNum>
  <w:abstractNum w:abstractNumId="3">
    <w:lvl w:ilvl="0">
      <w:start w:val="1"/>
      <w:numFmt w:val="decimal"/>
      <w:lvlText w:val="%1."/>
      <w:lvlJc w:val="left"/>
      <w:pPr>
        <w:ind w:hanging="360" w:left="360"/>
      </w:pPr>
      <w:rPr>
        <w:b/>
      </w:rPr>
    </w:lvl>
    <w:lvl w:ilvl="1">
      <w:start w:val="1"/>
      <w:numFmt w:val="decimal"/>
      <w:lvlText w:val="%1.%2."/>
      <w:lvlJc w:val="left"/>
      <w:pPr>
        <w:ind w:hanging="432" w:left="792"/>
      </w:pPr>
      <w:rPr>
        <w:i w:val="false"/>
        <w:b w:val="false"/>
        <w:iCs/>
      </w:rPr>
    </w:lvl>
    <w:lvl w:ilvl="2">
      <w:start w:val="1"/>
      <w:numFmt w:val="decimal"/>
      <w:lvlText w:val="%1.%2.%3."/>
      <w:lvlJc w:val="left"/>
      <w:pPr>
        <w:ind w:hanging="504" w:left="1224"/>
      </w:pPr>
      <w:rPr>
        <w:color w:val="00000A"/>
        <w:i w:val="false"/>
        <w:b w:val="false"/>
        <w:iCs/>
      </w:rPr>
    </w:lvl>
    <w:lvl w:ilvl="3">
      <w:start w:val="1"/>
      <w:numFmt w:val="lowerLetter"/>
      <w:lvlText w:val="%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
    <w:lvl w:ilvl="0">
      <w:start w:val="1"/>
      <w:numFmt w:val="decimal"/>
      <w:lvlText w:val="%1."/>
      <w:lvlJc w:val="left"/>
      <w:pPr>
        <w:ind w:hanging="360" w:left="360"/>
      </w:pPr>
      <w:rPr>
        <w:b/>
      </w:rPr>
    </w:lvl>
    <w:lvl w:ilvl="1">
      <w:start w:val="1"/>
      <w:numFmt w:val="decimal"/>
      <w:lvlText w:val="%1.%2."/>
      <w:lvlJc w:val="left"/>
      <w:pPr>
        <w:ind w:hanging="432" w:left="792"/>
      </w:pPr>
      <w:rPr>
        <w:i w:val="false"/>
        <w:b w:val="false"/>
        <w:iCs/>
      </w:rPr>
    </w:lvl>
    <w:lvl w:ilvl="2">
      <w:start w:val="1"/>
      <w:numFmt w:val="lowerLetter"/>
      <w:lvlText w:val="%3)"/>
      <w:lvlJc w:val="left"/>
      <w:pPr>
        <w:ind w:hanging="504" w:left="1224"/>
      </w:pPr>
      <w:rPr>
        <w:color w:val="00000A"/>
        <w:i w:val="false"/>
        <w:b w:val="false"/>
        <w:iCs/>
      </w:r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5">
    <w:lvl w:ilvl="0">
      <w:start w:val="1"/>
      <w:numFmt w:val="decimal"/>
      <w:lvlText w:val="%1"/>
      <w:lvlJc w:val="left"/>
      <w:pPr>
        <w:ind w:hanging="360" w:left="360"/>
      </w:pPr>
      <w:rPr>
        <w:color w:val="00000A"/>
        <w:i w:val="false"/>
        <w:b w:val="false"/>
        <w:iCs w:val="false"/>
        <w:bCs/>
      </w:rPr>
    </w:lvl>
    <w:lvl w:ilvl="1">
      <w:start w:val="1"/>
      <w:numFmt w:val="decimal"/>
      <w:lvlText w:val="%1.%2"/>
      <w:lvlJc w:val="left"/>
      <w:pPr>
        <w:ind w:hanging="360" w:left="1145"/>
      </w:pPr>
      <w:rPr>
        <w:color w:val="00000A"/>
        <w:i w:val="false"/>
        <w:b/>
        <w:iCs w:val="false"/>
        <w:bCs/>
      </w:rPr>
    </w:lvl>
    <w:lvl w:ilvl="2">
      <w:start w:val="1"/>
      <w:numFmt w:val="decimal"/>
      <w:lvlText w:val="%1.%2.%3"/>
      <w:lvlJc w:val="left"/>
      <w:pPr>
        <w:ind w:hanging="720" w:left="2290"/>
      </w:pPr>
      <w:rPr>
        <w:color w:val="000000"/>
        <w:dstrike w:val="false"/>
        <w:strike w:val="false"/>
        <w:sz w:val="22"/>
        <w:i w:val="false"/>
        <w:u w:val="none"/>
        <w:b/>
        <w:effect w:val="none"/>
        <w:szCs w:val="20"/>
        <w:bCs/>
      </w:rPr>
    </w:lvl>
    <w:lvl w:ilvl="3">
      <w:start w:val="1"/>
      <w:numFmt w:val="decimal"/>
      <w:lvlText w:val="%1.%2.%3.%4"/>
      <w:lvlJc w:val="left"/>
      <w:pPr>
        <w:ind w:hanging="720" w:left="3075"/>
      </w:pPr>
      <w:rPr>
        <w:color w:val="000000"/>
        <w:i w:val="false"/>
        <w:b/>
      </w:rPr>
    </w:lvl>
    <w:lvl w:ilvl="4">
      <w:start w:val="1"/>
      <w:numFmt w:val="decimal"/>
      <w:lvlText w:val="%1.%2.%3.%4.%5"/>
      <w:lvlJc w:val="left"/>
      <w:pPr>
        <w:ind w:hanging="1080" w:left="4220"/>
      </w:pPr>
      <w:rPr>
        <w:color w:val="000000"/>
        <w:i w:val="false"/>
        <w:b w:val="false"/>
      </w:rPr>
    </w:lvl>
    <w:lvl w:ilvl="5">
      <w:start w:val="1"/>
      <w:numFmt w:val="decimal"/>
      <w:lvlText w:val="%1.%2.%3.%4.%5.%6"/>
      <w:lvlJc w:val="left"/>
      <w:pPr>
        <w:ind w:hanging="1080" w:left="5005"/>
      </w:pPr>
      <w:rPr>
        <w:color w:val="000000"/>
        <w:i w:val="false"/>
        <w:b/>
      </w:rPr>
    </w:lvl>
    <w:lvl w:ilvl="6">
      <w:start w:val="1"/>
      <w:numFmt w:val="decimal"/>
      <w:lvlText w:val="%1.%2.%3.%4.%5.%6.%7"/>
      <w:lvlJc w:val="left"/>
      <w:pPr>
        <w:ind w:hanging="1440" w:left="6150"/>
      </w:pPr>
      <w:rPr>
        <w:color w:val="000000"/>
        <w:i w:val="false"/>
        <w:b/>
      </w:rPr>
    </w:lvl>
    <w:lvl w:ilvl="7">
      <w:start w:val="1"/>
      <w:numFmt w:val="decimal"/>
      <w:lvlText w:val="%1.%2.%3.%4.%5.%6.%7.%8"/>
      <w:lvlJc w:val="left"/>
      <w:pPr>
        <w:ind w:hanging="1440" w:left="6935"/>
      </w:pPr>
      <w:rPr>
        <w:color w:val="000000"/>
        <w:i w:val="false"/>
        <w:b/>
      </w:rPr>
    </w:lvl>
    <w:lvl w:ilvl="8">
      <w:start w:val="1"/>
      <w:numFmt w:val="decimal"/>
      <w:lvlText w:val="%1.%2.%3.%4.%5.%6.%7.%8.%9"/>
      <w:lvlJc w:val="left"/>
      <w:pPr>
        <w:ind w:hanging="1800" w:left="8080"/>
      </w:pPr>
      <w:rPr>
        <w:color w:val="000000"/>
        <w:i w:val="false"/>
        <w:b/>
      </w:rPr>
    </w:lvl>
  </w:abstractNum>
  <w:abstractNum w:abstractNumId="6">
    <w:lvl w:ilvl="0">
      <w:start w:val="1"/>
      <w:numFmt w:val="decimal"/>
      <w:lvlText w:val="%1."/>
      <w:lvlJc w:val="left"/>
      <w:pPr>
        <w:ind w:hanging="360" w:left="1865"/>
      </w:pPr>
    </w:lvl>
    <w:lvl w:ilvl="1">
      <w:start w:val="1"/>
      <w:numFmt w:val="lowerLetter"/>
      <w:lvlText w:val="%2."/>
      <w:lvlJc w:val="left"/>
      <w:pPr>
        <w:ind w:hanging="360" w:left="2585"/>
      </w:pPr>
    </w:lvl>
    <w:lvl w:ilvl="2">
      <w:start w:val="1"/>
      <w:numFmt w:val="lowerRoman"/>
      <w:lvlText w:val="%3."/>
      <w:lvlJc w:val="right"/>
      <w:pPr>
        <w:ind w:hanging="180" w:left="3305"/>
      </w:pPr>
    </w:lvl>
    <w:lvl w:ilvl="3">
      <w:start w:val="1"/>
      <w:numFmt w:val="decimal"/>
      <w:lvlText w:val="%4."/>
      <w:lvlJc w:val="left"/>
      <w:pPr>
        <w:ind w:hanging="360" w:left="4025"/>
      </w:pPr>
    </w:lvl>
    <w:lvl w:ilvl="4">
      <w:start w:val="1"/>
      <w:numFmt w:val="lowerLetter"/>
      <w:lvlText w:val="%5."/>
      <w:lvlJc w:val="left"/>
      <w:pPr>
        <w:ind w:hanging="360" w:left="4745"/>
      </w:pPr>
    </w:lvl>
    <w:lvl w:ilvl="5">
      <w:start w:val="1"/>
      <w:numFmt w:val="lowerRoman"/>
      <w:lvlText w:val="%6."/>
      <w:lvlJc w:val="right"/>
      <w:pPr>
        <w:ind w:hanging="180" w:left="5465"/>
      </w:pPr>
    </w:lvl>
    <w:lvl w:ilvl="6">
      <w:start w:val="1"/>
      <w:numFmt w:val="decimal"/>
      <w:lvlText w:val="%7."/>
      <w:lvlJc w:val="left"/>
      <w:pPr>
        <w:ind w:hanging="360" w:left="6185"/>
      </w:pPr>
    </w:lvl>
    <w:lvl w:ilvl="7">
      <w:start w:val="1"/>
      <w:numFmt w:val="lowerLetter"/>
      <w:lvlText w:val="%8."/>
      <w:lvlJc w:val="left"/>
      <w:pPr>
        <w:ind w:hanging="360" w:left="6905"/>
      </w:pPr>
    </w:lvl>
    <w:lvl w:ilvl="8">
      <w:start w:val="1"/>
      <w:numFmt w:val="lowerRoman"/>
      <w:lvlText w:val="%9."/>
      <w:lvlJc w:val="right"/>
      <w:pPr>
        <w:ind w:hanging="180" w:left="7625"/>
      </w:pPr>
    </w:lvl>
  </w:abstractNum>
  <w:abstractNum w:abstractNumId="7">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0" w:before="0" w:line="100" w:lineRule="atLeast"/>
      <w:contextualSpacing w:val="false"/>
      <w:jc w:val="left"/>
    </w:pPr>
    <w:rPr>
      <w:rFonts w:ascii="Arial" w:cs="Tahoma" w:eastAsia="Times New Roman" w:hAnsi="Arial"/>
      <w:color w:val="00000A"/>
      <w:sz w:val="20"/>
      <w:szCs w:val="24"/>
      <w:lang w:bidi="ar-SA" w:eastAsia="pt-BR" w:val="pt-BR"/>
    </w:rPr>
  </w:style>
  <w:style w:styleId="style1" w:type="paragraph">
    <w:name w:val="Título 1"/>
    <w:basedOn w:val="style0"/>
    <w:next w:val="style1"/>
    <w:pPr>
      <w:keepNext/>
      <w:widowControl/>
      <w:shd w:fill="FFFFFF" w:val="clear"/>
      <w:suppressAutoHyphens w:val="true"/>
      <w:spacing w:after="120" w:before="120"/>
      <w:contextualSpacing w:val="false"/>
      <w:jc w:val="left"/>
    </w:pPr>
    <w:rPr>
      <w:rFonts w:ascii="Arial" w:cs="Calibri" w:eastAsia="Calibri" w:hAnsi="Arial"/>
      <w:b/>
      <w:color w:val="00000A"/>
      <w:sz w:val="20"/>
      <w:szCs w:val="22"/>
      <w:lang w:bidi="ar-SA" w:eastAsia="en-US" w:val="pt-BR"/>
    </w:rPr>
  </w:style>
  <w:style w:styleId="style15" w:type="character">
    <w:name w:val="Default Paragraph Font"/>
    <w:next w:val="style15"/>
    <w:rPr/>
  </w:style>
  <w:style w:styleId="style16" w:type="character">
    <w:name w:val="Título 1 Char"/>
    <w:basedOn w:val="style15"/>
    <w:next w:val="style16"/>
    <w:rPr>
      <w:rFonts w:ascii="Arial" w:cs="Arial" w:eastAsia="WenQuanYi Micro Hei" w:hAnsi="Arial"/>
      <w:b/>
      <w:sz w:val="20"/>
      <w:szCs w:val="24"/>
      <w:lang w:bidi="hi-IN" w:eastAsia="zh-CN"/>
    </w:rPr>
  </w:style>
  <w:style w:styleId="style17" w:type="character">
    <w:name w:val="Citação Char"/>
    <w:basedOn w:val="style15"/>
    <w:next w:val="style17"/>
    <w:rPr>
      <w:rFonts w:ascii="Arial" w:cs="Tahoma" w:eastAsia="Calibri" w:hAnsi="Arial"/>
      <w:i/>
      <w:iCs/>
      <w:color w:val="000000"/>
      <w:sz w:val="20"/>
      <w:szCs w:val="24"/>
      <w:shd w:fill="FFFFCC" w:val="clear"/>
    </w:rPr>
  </w:style>
  <w:style w:styleId="style18" w:type="character">
    <w:name w:val="Nivel 01 Char"/>
    <w:basedOn w:val="style16"/>
    <w:next w:val="style18"/>
    <w:rPr>
      <w:rFonts w:ascii="Arial" w:cs="" w:eastAsia="" w:hAnsi="Arial"/>
      <w:b w:val="false"/>
      <w:bCs/>
      <w:color w:val="000000"/>
      <w:sz w:val="20"/>
      <w:szCs w:val="20"/>
      <w:lang w:bidi="hi-IN" w:eastAsia="pt-BR"/>
    </w:rPr>
  </w:style>
  <w:style w:styleId="style19" w:type="character">
    <w:name w:val="citação 2 Char"/>
    <w:basedOn w:val="style17"/>
    <w:next w:val="style19"/>
    <w:rPr>
      <w:rFonts w:ascii="Arial" w:cs="Tahoma" w:eastAsia="Calibri" w:hAnsi="Arial"/>
      <w:i/>
      <w:iCs/>
      <w:color w:val="000000"/>
      <w:sz w:val="20"/>
      <w:szCs w:val="20"/>
      <w:shd w:fill="FFFFCC" w:val="clear"/>
    </w:rPr>
  </w:style>
  <w:style w:styleId="style20" w:type="character">
    <w:name w:val="Quote Char"/>
    <w:basedOn w:val="style15"/>
    <w:next w:val="style20"/>
    <w:rPr>
      <w:rFonts w:ascii="Ecofont_Spranq_eco_Sans" w:cs="Tahoma" w:eastAsia="Calibri" w:hAnsi="Ecofont_Spranq_eco_Sans"/>
      <w:i/>
      <w:iCs/>
      <w:color w:val="000000"/>
      <w:shd w:fill="FFFFCC" w:val="clear"/>
    </w:rPr>
  </w:style>
  <w:style w:styleId="style21" w:type="character">
    <w:name w:val="annotation reference"/>
    <w:basedOn w:val="style15"/>
    <w:next w:val="style21"/>
    <w:rPr>
      <w:sz w:val="16"/>
      <w:szCs w:val="16"/>
    </w:rPr>
  </w:style>
  <w:style w:styleId="style22" w:type="character">
    <w:name w:val="Texto de comentário Char"/>
    <w:basedOn w:val="style15"/>
    <w:next w:val="style22"/>
    <w:rPr>
      <w:rFonts w:ascii="Arial" w:cs="Tahoma" w:eastAsia="Times New Roman" w:hAnsi="Arial"/>
      <w:sz w:val="20"/>
      <w:szCs w:val="20"/>
      <w:lang w:eastAsia="pt-BR"/>
    </w:rPr>
  </w:style>
  <w:style w:styleId="style23" w:type="character">
    <w:name w:val="Assunto do comentário Char"/>
    <w:basedOn w:val="style22"/>
    <w:next w:val="style23"/>
    <w:rPr>
      <w:rFonts w:ascii="Arial" w:cs="Tahoma" w:eastAsia="Times New Roman" w:hAnsi="Arial"/>
      <w:b/>
      <w:bCs/>
      <w:sz w:val="20"/>
      <w:szCs w:val="20"/>
      <w:lang w:eastAsia="pt-BR"/>
    </w:rPr>
  </w:style>
  <w:style w:styleId="style24" w:type="character">
    <w:name w:val="Link da Internet"/>
    <w:basedOn w:val="style15"/>
    <w:next w:val="style24"/>
    <w:rPr>
      <w:color w:val="0563C1"/>
      <w:u w:val="single"/>
      <w:lang w:bidi="zxx-" w:eastAsia="zxx-" w:val="zxx-"/>
    </w:rPr>
  </w:style>
  <w:style w:styleId="style25" w:type="character">
    <w:name w:val="Nivel 4 Char"/>
    <w:basedOn w:val="style15"/>
    <w:next w:val="style25"/>
    <w:rPr>
      <w:rFonts w:ascii="Ecofont_Spranq_eco_Sans" w:cs="Arial" w:eastAsia="Arial Unicode MS" w:hAnsi="Ecofont_Spranq_eco_Sans"/>
      <w:sz w:val="20"/>
      <w:szCs w:val="20"/>
      <w:lang w:eastAsia="pt-BR"/>
    </w:rPr>
  </w:style>
  <w:style w:styleId="style26" w:type="character">
    <w:name w:val="Texto de balão Char"/>
    <w:basedOn w:val="style15"/>
    <w:next w:val="style26"/>
    <w:rPr>
      <w:rFonts w:ascii="Segoe UI" w:cs="Segoe UI" w:eastAsia="Times New Roman" w:hAnsi="Segoe UI"/>
      <w:sz w:val="18"/>
      <w:szCs w:val="18"/>
      <w:lang w:eastAsia="pt-BR"/>
    </w:rPr>
  </w:style>
  <w:style w:styleId="style27" w:type="character">
    <w:name w:val="Cabeçalho Char"/>
    <w:basedOn w:val="style15"/>
    <w:next w:val="style27"/>
    <w:rPr>
      <w:rFonts w:ascii="Arial" w:cs="Tahoma" w:eastAsia="Times New Roman" w:hAnsi="Arial"/>
      <w:sz w:val="20"/>
      <w:szCs w:val="24"/>
      <w:lang w:eastAsia="pt-BR"/>
    </w:rPr>
  </w:style>
  <w:style w:styleId="style28" w:type="character">
    <w:name w:val="Rodapé Char"/>
    <w:basedOn w:val="style15"/>
    <w:next w:val="style28"/>
    <w:rPr>
      <w:rFonts w:ascii="Arial" w:cs="Tahoma" w:eastAsia="Times New Roman" w:hAnsi="Arial"/>
      <w:sz w:val="20"/>
      <w:szCs w:val="24"/>
      <w:lang w:eastAsia="pt-BR"/>
    </w:rPr>
  </w:style>
  <w:style w:styleId="style29" w:type="character">
    <w:name w:val="Link da internet visitado"/>
    <w:basedOn w:val="style15"/>
    <w:next w:val="style29"/>
    <w:rPr>
      <w:color w:val="954F72"/>
      <w:u w:val="single"/>
      <w:lang w:bidi="zxx-" w:eastAsia="zxx-" w:val="zxx-"/>
    </w:rPr>
  </w:style>
  <w:style w:styleId="style30" w:type="character">
    <w:name w:val="Ênfase forte"/>
    <w:basedOn w:val="style15"/>
    <w:next w:val="style30"/>
    <w:rPr>
      <w:b/>
      <w:bCs/>
    </w:rPr>
  </w:style>
  <w:style w:styleId="style31" w:type="character">
    <w:name w:val="Título Char"/>
    <w:basedOn w:val="style15"/>
    <w:next w:val="style31"/>
    <w:rPr>
      <w:rFonts w:ascii="Liberation Sans" w:cs="FreeSans" w:eastAsia="Noto Sans CJK SC" w:hAnsi="Liberation Sans"/>
      <w:sz w:val="28"/>
      <w:szCs w:val="28"/>
      <w:lang w:eastAsia="pt-BR"/>
    </w:rPr>
  </w:style>
  <w:style w:styleId="style32" w:type="character">
    <w:name w:val="Corpo de texto Char"/>
    <w:basedOn w:val="style15"/>
    <w:next w:val="style32"/>
    <w:rPr>
      <w:rFonts w:ascii="Arial" w:cs="Tahoma" w:eastAsia="Times New Roman" w:hAnsi="Arial"/>
      <w:sz w:val="20"/>
      <w:szCs w:val="24"/>
      <w:lang w:eastAsia="pt-BR"/>
    </w:rPr>
  </w:style>
  <w:style w:styleId="style33" w:type="character">
    <w:name w:val="Citação Char1"/>
    <w:basedOn w:val="style15"/>
    <w:next w:val="style33"/>
    <w:rPr>
      <w:rFonts w:ascii="Arial" w:cs="Tahoma" w:eastAsia="Times New Roman" w:hAnsi="Arial"/>
      <w:i/>
      <w:iCs/>
      <w:color w:val="404040"/>
      <w:sz w:val="20"/>
      <w:szCs w:val="24"/>
      <w:lang w:eastAsia="pt-BR"/>
    </w:rPr>
  </w:style>
  <w:style w:styleId="style34" w:type="character">
    <w:name w:val="Texto de comentário Char1"/>
    <w:basedOn w:val="style15"/>
    <w:next w:val="style34"/>
    <w:rPr>
      <w:rFonts w:ascii="Arial" w:cs="Tahoma" w:eastAsia="Times New Roman" w:hAnsi="Arial"/>
      <w:sz w:val="20"/>
      <w:szCs w:val="20"/>
      <w:lang w:eastAsia="pt-BR"/>
    </w:rPr>
  </w:style>
  <w:style w:styleId="style35" w:type="character">
    <w:name w:val="Assunto do comentário Char1"/>
    <w:basedOn w:val="style34"/>
    <w:next w:val="style35"/>
    <w:rPr>
      <w:rFonts w:ascii="Arial" w:cs="Tahoma" w:eastAsia="Times New Roman" w:hAnsi="Arial"/>
      <w:b/>
      <w:bCs/>
      <w:sz w:val="20"/>
      <w:szCs w:val="20"/>
      <w:lang w:eastAsia="pt-BR"/>
    </w:rPr>
  </w:style>
  <w:style w:styleId="style36" w:type="character">
    <w:name w:val="Texto de balão Char1"/>
    <w:basedOn w:val="style15"/>
    <w:next w:val="style36"/>
    <w:rPr>
      <w:rFonts w:ascii="Segoe UI" w:cs="Segoe UI" w:eastAsia="Times New Roman" w:hAnsi="Segoe UI"/>
      <w:sz w:val="18"/>
      <w:szCs w:val="18"/>
      <w:lang w:eastAsia="pt-BR"/>
    </w:rPr>
  </w:style>
  <w:style w:styleId="style37" w:type="character">
    <w:name w:val="Cabeçalho Char1"/>
    <w:basedOn w:val="style15"/>
    <w:next w:val="style37"/>
    <w:rPr>
      <w:rFonts w:ascii="Arial" w:cs="Tahoma" w:eastAsia="Times New Roman" w:hAnsi="Arial"/>
      <w:sz w:val="20"/>
      <w:szCs w:val="24"/>
      <w:lang w:eastAsia="pt-BR"/>
    </w:rPr>
  </w:style>
  <w:style w:styleId="style38" w:type="character">
    <w:name w:val="Rodapé Char1"/>
    <w:basedOn w:val="style15"/>
    <w:next w:val="style38"/>
    <w:rPr>
      <w:rFonts w:ascii="Arial" w:cs="Tahoma" w:eastAsia="Times New Roman" w:hAnsi="Arial"/>
      <w:sz w:val="20"/>
      <w:szCs w:val="24"/>
      <w:lang w:eastAsia="pt-BR"/>
    </w:rPr>
  </w:style>
  <w:style w:styleId="style39" w:type="character">
    <w:name w:val="cf01"/>
    <w:basedOn w:val="style15"/>
    <w:next w:val="style39"/>
    <w:rPr>
      <w:rFonts w:ascii="Segoe UI" w:cs="Segoe UI" w:hAnsi="Segoe UI"/>
      <w:color w:val="555555"/>
      <w:sz w:val="18"/>
      <w:szCs w:val="18"/>
      <w:shd w:fill="FFFFFF" w:val="clear"/>
    </w:rPr>
  </w:style>
  <w:style w:styleId="style40" w:type="character">
    <w:name w:val="Menção Pendente1"/>
    <w:basedOn w:val="style15"/>
    <w:next w:val="style40"/>
    <w:rPr>
      <w:color w:val="605E5C"/>
      <w:shd w:fill="E1DFDD" w:val="clear"/>
    </w:rPr>
  </w:style>
  <w:style w:styleId="style41" w:type="character">
    <w:name w:val="Placeholder Text"/>
    <w:basedOn w:val="style15"/>
    <w:next w:val="style41"/>
    <w:rPr>
      <w:color w:val="808080"/>
    </w:rPr>
  </w:style>
  <w:style w:styleId="style42" w:type="character">
    <w:name w:val="Estilo1"/>
    <w:basedOn w:val="style15"/>
    <w:next w:val="style42"/>
    <w:rPr>
      <w:rFonts w:ascii="Arial" w:hAnsi="Arial"/>
      <w:b/>
      <w:color w:val="538135"/>
      <w:sz w:val="24"/>
    </w:rPr>
  </w:style>
  <w:style w:styleId="style43" w:type="character">
    <w:name w:val="Unresolved Mention"/>
    <w:basedOn w:val="style15"/>
    <w:next w:val="style43"/>
    <w:rPr>
      <w:color w:val="605E5C"/>
      <w:shd w:fill="E1DFDD" w:val="clear"/>
    </w:rPr>
  </w:style>
  <w:style w:styleId="style44" w:type="character">
    <w:name w:val="Fonte parág. padrão"/>
    <w:next w:val="style44"/>
    <w:rPr/>
  </w:style>
  <w:style w:styleId="style45" w:type="character">
    <w:name w:val="ListLabel 1"/>
    <w:next w:val="style45"/>
    <w:rPr>
      <w:b/>
    </w:rPr>
  </w:style>
  <w:style w:styleId="style46" w:type="character">
    <w:name w:val="ListLabel 2"/>
    <w:next w:val="style46"/>
    <w:rPr>
      <w:b/>
    </w:rPr>
  </w:style>
  <w:style w:styleId="style47" w:type="character">
    <w:name w:val="ListLabel 3"/>
    <w:next w:val="style47"/>
    <w:rPr>
      <w:rFonts w:ascii="Arial" w:hAnsi="Arial"/>
      <w:b/>
      <w:i w:val="false"/>
      <w:iCs/>
    </w:rPr>
  </w:style>
  <w:style w:styleId="style48" w:type="character">
    <w:name w:val="ListLabel 4"/>
    <w:next w:val="style48"/>
    <w:rPr>
      <w:rFonts w:ascii="Arial" w:cs="Arial" w:hAnsi="Arial"/>
      <w:b w:val="false"/>
      <w:i w:val="false"/>
      <w:iCs/>
      <w:color w:val="00000A"/>
    </w:rPr>
  </w:style>
  <w:style w:styleId="style49" w:type="character">
    <w:name w:val="ListLabel 5"/>
    <w:next w:val="style49"/>
    <w:rPr>
      <w:b/>
    </w:rPr>
  </w:style>
  <w:style w:styleId="style50" w:type="character">
    <w:name w:val="ListLabel 6"/>
    <w:next w:val="style50"/>
    <w:rPr>
      <w:b w:val="false"/>
      <w:i w:val="false"/>
      <w:iCs/>
    </w:rPr>
  </w:style>
  <w:style w:styleId="style51" w:type="character">
    <w:name w:val="ListLabel 7"/>
    <w:next w:val="style51"/>
    <w:rPr>
      <w:rFonts w:cs="Arial"/>
      <w:b w:val="false"/>
      <w:i w:val="false"/>
      <w:iCs/>
      <w:color w:val="00000A"/>
    </w:rPr>
  </w:style>
  <w:style w:styleId="style52" w:type="character">
    <w:name w:val="ListLabel 8"/>
    <w:next w:val="style52"/>
    <w:rPr>
      <w:b/>
    </w:rPr>
  </w:style>
  <w:style w:styleId="style53" w:type="character">
    <w:name w:val="ListLabel 9"/>
    <w:next w:val="style53"/>
    <w:rPr>
      <w:b w:val="false"/>
      <w:i w:val="false"/>
      <w:iCs/>
    </w:rPr>
  </w:style>
  <w:style w:styleId="style54" w:type="character">
    <w:name w:val="ListLabel 10"/>
    <w:next w:val="style54"/>
    <w:rPr>
      <w:b w:val="false"/>
      <w:i w:val="false"/>
      <w:iCs/>
      <w:color w:val="00000A"/>
    </w:rPr>
  </w:style>
  <w:style w:styleId="style55" w:type="character">
    <w:name w:val="ListLabel 11"/>
    <w:next w:val="style55"/>
    <w:rPr>
      <w:rFonts w:eastAsia="WenQuanYi Micro Hei"/>
      <w:b w:val="false"/>
      <w:bCs/>
      <w:i w:val="false"/>
      <w:iCs w:val="false"/>
      <w:color w:val="00000A"/>
    </w:rPr>
  </w:style>
  <w:style w:styleId="style56" w:type="character">
    <w:name w:val="ListLabel 12"/>
    <w:next w:val="style56"/>
    <w:rPr>
      <w:rFonts w:cs="Arial" w:eastAsia="WenQuanYi Micro Hei"/>
      <w:b/>
      <w:bCs/>
      <w:i w:val="false"/>
      <w:iCs w:val="false"/>
      <w:color w:val="00000A"/>
    </w:rPr>
  </w:style>
  <w:style w:styleId="style57" w:type="character">
    <w:name w:val="ListLabel 13"/>
    <w:next w:val="style57"/>
    <w:rPr>
      <w:rFonts w:ascii="Calibri" w:cs="Arial" w:eastAsia="WenQuanYi Micro Hei" w:hAnsi="Calibri"/>
      <w:b/>
      <w:bCs/>
      <w:i w:val="false"/>
      <w:strike w:val="false"/>
      <w:dstrike w:val="false"/>
      <w:color w:val="000000"/>
      <w:sz w:val="22"/>
      <w:szCs w:val="20"/>
      <w:u w:val="none"/>
      <w:effect w:val="none"/>
    </w:rPr>
  </w:style>
  <w:style w:styleId="style58" w:type="character">
    <w:name w:val="ListLabel 14"/>
    <w:next w:val="style58"/>
    <w:rPr>
      <w:rFonts w:eastAsia="WenQuanYi Micro Hei"/>
      <w:b/>
      <w:i w:val="false"/>
      <w:color w:val="000000"/>
    </w:rPr>
  </w:style>
  <w:style w:styleId="style59" w:type="character">
    <w:name w:val="ListLabel 15"/>
    <w:next w:val="style59"/>
    <w:rPr>
      <w:rFonts w:eastAsia="WenQuanYi Micro Hei"/>
      <w:b w:val="false"/>
      <w:i w:val="false"/>
      <w:color w:val="000000"/>
    </w:rPr>
  </w:style>
  <w:style w:styleId="style60" w:type="character">
    <w:name w:val="ListLabel 16"/>
    <w:next w:val="style60"/>
    <w:rPr>
      <w:rFonts w:eastAsia="WenQuanYi Micro Hei"/>
      <w:b/>
      <w:i w:val="false"/>
      <w:color w:val="000000"/>
    </w:rPr>
  </w:style>
  <w:style w:styleId="style61" w:type="character">
    <w:name w:val="ListLabel 17"/>
    <w:next w:val="style61"/>
    <w:rPr>
      <w:rFonts w:eastAsia="WenQuanYi Micro Hei"/>
      <w:b/>
      <w:i w:val="false"/>
      <w:color w:val="000000"/>
    </w:rPr>
  </w:style>
  <w:style w:styleId="style62" w:type="character">
    <w:name w:val="ListLabel 18"/>
    <w:next w:val="style62"/>
    <w:rPr>
      <w:rFonts w:eastAsia="WenQuanYi Micro Hei"/>
      <w:b/>
      <w:i w:val="false"/>
      <w:color w:val="000000"/>
    </w:rPr>
  </w:style>
  <w:style w:styleId="style63" w:type="character">
    <w:name w:val="ListLabel 19"/>
    <w:next w:val="style63"/>
    <w:rPr>
      <w:rFonts w:eastAsia="WenQuanYi Micro Hei"/>
      <w:b/>
      <w:i w:val="false"/>
      <w:color w:val="000000"/>
    </w:rPr>
  </w:style>
  <w:style w:styleId="style64" w:type="character">
    <w:name w:val="ListLabel 20"/>
    <w:next w:val="style64"/>
    <w:rPr>
      <w:b/>
    </w:rPr>
  </w:style>
  <w:style w:styleId="style65" w:type="character">
    <w:name w:val="ListLabel 21"/>
    <w:next w:val="style65"/>
    <w:rPr>
      <w:b/>
      <w:i w:val="false"/>
      <w:iCs/>
    </w:rPr>
  </w:style>
  <w:style w:styleId="style66" w:type="character">
    <w:name w:val="ListLabel 22"/>
    <w:next w:val="style66"/>
    <w:rPr>
      <w:rFonts w:cs="Arial"/>
      <w:b w:val="false"/>
      <w:i w:val="false"/>
      <w:iCs/>
      <w:color w:val="00000A"/>
    </w:rPr>
  </w:style>
  <w:style w:styleId="style67" w:type="character">
    <w:name w:val="ListLabel 23"/>
    <w:next w:val="style67"/>
    <w:rPr>
      <w:b w:val="false"/>
      <w:i w:val="false"/>
      <w:iCs/>
    </w:rPr>
  </w:style>
  <w:style w:styleId="style68" w:type="character">
    <w:name w:val="ListLabel 24"/>
    <w:next w:val="style68"/>
    <w:rPr>
      <w:b w:val="false"/>
      <w:i w:val="false"/>
      <w:iCs/>
      <w:color w:val="00000A"/>
    </w:rPr>
  </w:style>
  <w:style w:styleId="style69" w:type="character">
    <w:name w:val="ListLabel 25"/>
    <w:next w:val="style69"/>
    <w:rPr>
      <w:rFonts w:eastAsia="WenQuanYi Micro Hei"/>
      <w:b w:val="false"/>
      <w:bCs/>
      <w:i w:val="false"/>
      <w:iCs w:val="false"/>
      <w:color w:val="00000A"/>
    </w:rPr>
  </w:style>
  <w:style w:styleId="style70" w:type="character">
    <w:name w:val="ListLabel 26"/>
    <w:next w:val="style70"/>
    <w:rPr>
      <w:rFonts w:cs="Arial" w:eastAsia="WenQuanYi Micro Hei"/>
      <w:b/>
      <w:bCs/>
      <w:i w:val="false"/>
      <w:iCs w:val="false"/>
      <w:color w:val="00000A"/>
    </w:rPr>
  </w:style>
  <w:style w:styleId="style71" w:type="character">
    <w:name w:val="ListLabel 27"/>
    <w:next w:val="style71"/>
    <w:rPr>
      <w:rFonts w:cs="Arial" w:eastAsia="WenQuanYi Micro Hei"/>
      <w:b/>
      <w:bCs/>
      <w:i w:val="false"/>
      <w:strike w:val="false"/>
      <w:dstrike w:val="false"/>
      <w:color w:val="000000"/>
      <w:sz w:val="22"/>
      <w:szCs w:val="20"/>
      <w:u w:val="none"/>
      <w:effect w:val="none"/>
    </w:rPr>
  </w:style>
  <w:style w:styleId="style72" w:type="character">
    <w:name w:val="ListLabel 28"/>
    <w:next w:val="style72"/>
    <w:rPr>
      <w:rFonts w:eastAsia="WenQuanYi Micro Hei"/>
      <w:b/>
      <w:i w:val="false"/>
      <w:color w:val="000000"/>
    </w:rPr>
  </w:style>
  <w:style w:styleId="style73" w:type="character">
    <w:name w:val="ListLabel 29"/>
    <w:next w:val="style73"/>
    <w:rPr>
      <w:rFonts w:eastAsia="WenQuanYi Micro Hei"/>
      <w:b w:val="false"/>
      <w:i w:val="false"/>
      <w:color w:val="000000"/>
    </w:rPr>
  </w:style>
  <w:style w:styleId="style74" w:type="character">
    <w:name w:val="ListLabel 30"/>
    <w:next w:val="style74"/>
    <w:rPr>
      <w:b/>
    </w:rPr>
  </w:style>
  <w:style w:styleId="style75" w:type="character">
    <w:name w:val="ListLabel 31"/>
    <w:next w:val="style75"/>
    <w:rPr>
      <w:b/>
      <w:i w:val="false"/>
      <w:iCs/>
    </w:rPr>
  </w:style>
  <w:style w:styleId="style76" w:type="character">
    <w:name w:val="ListLabel 32"/>
    <w:next w:val="style76"/>
    <w:rPr>
      <w:b w:val="false"/>
      <w:i w:val="false"/>
      <w:iCs/>
      <w:color w:val="00000A"/>
    </w:rPr>
  </w:style>
  <w:style w:styleId="style77" w:type="character">
    <w:name w:val="ListLabel 33"/>
    <w:next w:val="style77"/>
    <w:rPr>
      <w:b w:val="false"/>
      <w:i w:val="false"/>
      <w:iCs/>
    </w:rPr>
  </w:style>
  <w:style w:styleId="style78" w:type="character">
    <w:name w:val="ListLabel 34"/>
    <w:next w:val="style78"/>
    <w:rPr>
      <w:b w:val="false"/>
      <w:bCs/>
      <w:i w:val="false"/>
      <w:iCs w:val="false"/>
      <w:color w:val="00000A"/>
    </w:rPr>
  </w:style>
  <w:style w:styleId="style79" w:type="character">
    <w:name w:val="ListLabel 35"/>
    <w:next w:val="style79"/>
    <w:rPr>
      <w:b/>
      <w:bCs/>
      <w:i w:val="false"/>
      <w:iCs w:val="false"/>
      <w:color w:val="00000A"/>
    </w:rPr>
  </w:style>
  <w:style w:styleId="style80" w:type="character">
    <w:name w:val="ListLabel 36"/>
    <w:next w:val="style80"/>
    <w:rPr>
      <w:b/>
      <w:bCs/>
      <w:i w:val="false"/>
      <w:strike w:val="false"/>
      <w:dstrike w:val="false"/>
      <w:color w:val="000000"/>
      <w:sz w:val="22"/>
      <w:szCs w:val="20"/>
      <w:u w:val="none"/>
      <w:effect w:val="none"/>
    </w:rPr>
  </w:style>
  <w:style w:styleId="style81" w:type="character">
    <w:name w:val="ListLabel 37"/>
    <w:next w:val="style81"/>
    <w:rPr>
      <w:b/>
      <w:i w:val="false"/>
      <w:color w:val="000000"/>
    </w:rPr>
  </w:style>
  <w:style w:styleId="style82" w:type="character">
    <w:name w:val="ListLabel 38"/>
    <w:next w:val="style82"/>
    <w:rPr>
      <w:b w:val="false"/>
      <w:i w:val="false"/>
      <w:color w:val="000000"/>
    </w:rPr>
  </w:style>
  <w:style w:styleId="style83" w:type="character">
    <w:name w:val="ListLabel 39"/>
    <w:next w:val="style83"/>
    <w:rPr>
      <w:b/>
    </w:rPr>
  </w:style>
  <w:style w:styleId="style84" w:type="character">
    <w:name w:val="ListLabel 40"/>
    <w:next w:val="style84"/>
    <w:rPr>
      <w:b/>
      <w:i w:val="false"/>
      <w:iCs/>
    </w:rPr>
  </w:style>
  <w:style w:styleId="style85" w:type="character">
    <w:name w:val="ListLabel 41"/>
    <w:next w:val="style85"/>
    <w:rPr>
      <w:b w:val="false"/>
      <w:i w:val="false"/>
      <w:iCs/>
      <w:color w:val="00000A"/>
    </w:rPr>
  </w:style>
  <w:style w:styleId="style86" w:type="character">
    <w:name w:val="ListLabel 42"/>
    <w:next w:val="style86"/>
    <w:rPr>
      <w:b w:val="false"/>
      <w:i w:val="false"/>
      <w:iCs/>
    </w:rPr>
  </w:style>
  <w:style w:styleId="style87" w:type="character">
    <w:name w:val="ListLabel 43"/>
    <w:next w:val="style87"/>
    <w:rPr>
      <w:b w:val="false"/>
      <w:bCs/>
      <w:i w:val="false"/>
      <w:iCs w:val="false"/>
      <w:color w:val="00000A"/>
    </w:rPr>
  </w:style>
  <w:style w:styleId="style88" w:type="character">
    <w:name w:val="ListLabel 44"/>
    <w:next w:val="style88"/>
    <w:rPr>
      <w:b/>
      <w:bCs/>
      <w:i w:val="false"/>
      <w:iCs w:val="false"/>
      <w:color w:val="00000A"/>
    </w:rPr>
  </w:style>
  <w:style w:styleId="style89" w:type="character">
    <w:name w:val="ListLabel 45"/>
    <w:next w:val="style89"/>
    <w:rPr>
      <w:b/>
      <w:bCs/>
      <w:i w:val="false"/>
      <w:strike w:val="false"/>
      <w:dstrike w:val="false"/>
      <w:color w:val="000000"/>
      <w:sz w:val="22"/>
      <w:szCs w:val="20"/>
      <w:u w:val="none"/>
      <w:effect w:val="none"/>
    </w:rPr>
  </w:style>
  <w:style w:styleId="style90" w:type="character">
    <w:name w:val="ListLabel 46"/>
    <w:next w:val="style90"/>
    <w:rPr>
      <w:b/>
      <w:i w:val="false"/>
      <w:color w:val="000000"/>
    </w:rPr>
  </w:style>
  <w:style w:styleId="style91" w:type="character">
    <w:name w:val="ListLabel 47"/>
    <w:next w:val="style91"/>
    <w:rPr>
      <w:b w:val="false"/>
      <w:i w:val="false"/>
      <w:color w:val="000000"/>
    </w:rPr>
  </w:style>
  <w:style w:styleId="style92" w:type="character">
    <w:name w:val="ListLabel 48"/>
    <w:next w:val="style92"/>
    <w:rPr>
      <w:b/>
    </w:rPr>
  </w:style>
  <w:style w:styleId="style93" w:type="character">
    <w:name w:val="ListLabel 49"/>
    <w:next w:val="style93"/>
    <w:rPr>
      <w:b/>
      <w:i w:val="false"/>
      <w:iCs/>
    </w:rPr>
  </w:style>
  <w:style w:styleId="style94" w:type="character">
    <w:name w:val="ListLabel 50"/>
    <w:next w:val="style94"/>
    <w:rPr>
      <w:b w:val="false"/>
      <w:i w:val="false"/>
      <w:iCs/>
      <w:color w:val="00000A"/>
    </w:rPr>
  </w:style>
  <w:style w:styleId="style95" w:type="character">
    <w:name w:val="ListLabel 51"/>
    <w:next w:val="style95"/>
    <w:rPr>
      <w:b w:val="false"/>
      <w:i w:val="false"/>
      <w:iCs/>
    </w:rPr>
  </w:style>
  <w:style w:styleId="style96" w:type="character">
    <w:name w:val="ListLabel 52"/>
    <w:next w:val="style96"/>
    <w:rPr>
      <w:b w:val="false"/>
      <w:bCs/>
      <w:i w:val="false"/>
      <w:iCs w:val="false"/>
      <w:color w:val="00000A"/>
    </w:rPr>
  </w:style>
  <w:style w:styleId="style97" w:type="character">
    <w:name w:val="ListLabel 53"/>
    <w:next w:val="style97"/>
    <w:rPr>
      <w:b/>
      <w:bCs/>
      <w:i w:val="false"/>
      <w:iCs w:val="false"/>
      <w:color w:val="00000A"/>
    </w:rPr>
  </w:style>
  <w:style w:styleId="style98" w:type="character">
    <w:name w:val="ListLabel 54"/>
    <w:next w:val="style98"/>
    <w:rPr>
      <w:b/>
      <w:bCs/>
      <w:i w:val="false"/>
      <w:strike w:val="false"/>
      <w:dstrike w:val="false"/>
      <w:color w:val="000000"/>
      <w:sz w:val="22"/>
      <w:szCs w:val="20"/>
      <w:u w:val="none"/>
      <w:effect w:val="none"/>
    </w:rPr>
  </w:style>
  <w:style w:styleId="style99" w:type="character">
    <w:name w:val="ListLabel 55"/>
    <w:next w:val="style99"/>
    <w:rPr>
      <w:b/>
      <w:i w:val="false"/>
      <w:color w:val="000000"/>
    </w:rPr>
  </w:style>
  <w:style w:styleId="style100" w:type="character">
    <w:name w:val="ListLabel 56"/>
    <w:next w:val="style100"/>
    <w:rPr>
      <w:b w:val="false"/>
      <w:i w:val="false"/>
      <w:color w:val="000000"/>
    </w:rPr>
  </w:style>
  <w:style w:styleId="style101" w:type="character">
    <w:name w:val="ListLabel 57"/>
    <w:next w:val="style101"/>
    <w:rPr>
      <w:b/>
    </w:rPr>
  </w:style>
  <w:style w:styleId="style102" w:type="character">
    <w:name w:val="ListLabel 58"/>
    <w:next w:val="style102"/>
    <w:rPr>
      <w:b/>
      <w:i w:val="false"/>
      <w:iCs/>
    </w:rPr>
  </w:style>
  <w:style w:styleId="style103" w:type="character">
    <w:name w:val="ListLabel 59"/>
    <w:next w:val="style103"/>
    <w:rPr>
      <w:b w:val="false"/>
      <w:i w:val="false"/>
      <w:iCs/>
      <w:color w:val="00000A"/>
    </w:rPr>
  </w:style>
  <w:style w:styleId="style104" w:type="character">
    <w:name w:val="ListLabel 60"/>
    <w:next w:val="style104"/>
    <w:rPr>
      <w:b w:val="false"/>
      <w:i w:val="false"/>
      <w:iCs/>
    </w:rPr>
  </w:style>
  <w:style w:styleId="style105" w:type="character">
    <w:name w:val="ListLabel 61"/>
    <w:next w:val="style105"/>
    <w:rPr>
      <w:b w:val="false"/>
      <w:bCs/>
      <w:i w:val="false"/>
      <w:iCs w:val="false"/>
      <w:color w:val="00000A"/>
    </w:rPr>
  </w:style>
  <w:style w:styleId="style106" w:type="character">
    <w:name w:val="ListLabel 62"/>
    <w:next w:val="style106"/>
    <w:rPr>
      <w:b/>
      <w:bCs/>
      <w:i w:val="false"/>
      <w:iCs w:val="false"/>
      <w:color w:val="00000A"/>
    </w:rPr>
  </w:style>
  <w:style w:styleId="style107" w:type="character">
    <w:name w:val="ListLabel 63"/>
    <w:next w:val="style107"/>
    <w:rPr>
      <w:b/>
      <w:bCs/>
      <w:i w:val="false"/>
      <w:strike w:val="false"/>
      <w:dstrike w:val="false"/>
      <w:color w:val="000000"/>
      <w:sz w:val="22"/>
      <w:szCs w:val="20"/>
      <w:u w:val="none"/>
      <w:effect w:val="none"/>
    </w:rPr>
  </w:style>
  <w:style w:styleId="style108" w:type="character">
    <w:name w:val="ListLabel 64"/>
    <w:next w:val="style108"/>
    <w:rPr>
      <w:b/>
      <w:i w:val="false"/>
      <w:color w:val="000000"/>
    </w:rPr>
  </w:style>
  <w:style w:styleId="style109" w:type="character">
    <w:name w:val="ListLabel 65"/>
    <w:next w:val="style109"/>
    <w:rPr>
      <w:b w:val="false"/>
      <w:i w:val="false"/>
      <w:color w:val="000000"/>
    </w:rPr>
  </w:style>
  <w:style w:styleId="style110" w:type="character">
    <w:name w:val="Vínculo de índice"/>
    <w:next w:val="style110"/>
    <w:rPr/>
  </w:style>
  <w:style w:styleId="style111" w:type="paragraph">
    <w:name w:val="Título"/>
    <w:basedOn w:val="style0"/>
    <w:next w:val="style112"/>
    <w:pPr>
      <w:keepNext/>
      <w:spacing w:after="120" w:before="240"/>
      <w:contextualSpacing w:val="false"/>
    </w:pPr>
    <w:rPr>
      <w:rFonts w:ascii="Liberation Sans" w:cs="Lucida Sans" w:eastAsia="Microsoft YaHei" w:hAnsi="Liberation Sans"/>
      <w:sz w:val="28"/>
      <w:szCs w:val="28"/>
    </w:rPr>
  </w:style>
  <w:style w:styleId="style112" w:type="paragraph">
    <w:name w:val="Corpo do texto"/>
    <w:basedOn w:val="style0"/>
    <w:next w:val="style112"/>
    <w:pPr>
      <w:spacing w:after="140" w:before="0" w:line="276" w:lineRule="auto"/>
      <w:contextualSpacing w:val="false"/>
    </w:pPr>
    <w:rPr/>
  </w:style>
  <w:style w:styleId="style113" w:type="paragraph">
    <w:name w:val="Lista"/>
    <w:basedOn w:val="style112"/>
    <w:next w:val="style113"/>
    <w:pPr/>
    <w:rPr>
      <w:rFonts w:cs="FreeSans"/>
    </w:rPr>
  </w:style>
  <w:style w:styleId="style114" w:type="paragraph">
    <w:name w:val="Legenda"/>
    <w:basedOn w:val="style0"/>
    <w:next w:val="style114"/>
    <w:pPr>
      <w:suppressLineNumbers/>
      <w:spacing w:after="120" w:before="120"/>
      <w:contextualSpacing w:val="false"/>
    </w:pPr>
    <w:rPr>
      <w:rFonts w:cs="Lucida Sans"/>
      <w:i/>
      <w:iCs/>
      <w:sz w:val="24"/>
      <w:szCs w:val="24"/>
    </w:rPr>
  </w:style>
  <w:style w:styleId="style115" w:type="paragraph">
    <w:name w:val="Índice"/>
    <w:basedOn w:val="style0"/>
    <w:next w:val="style115"/>
    <w:pPr>
      <w:suppressLineNumbers/>
    </w:pPr>
    <w:rPr>
      <w:rFonts w:cs="FreeSans"/>
    </w:rPr>
  </w:style>
  <w:style w:styleId="style116" w:type="paragraph">
    <w:name w:val="Título do documento"/>
    <w:basedOn w:val="style0"/>
    <w:next w:val="style116"/>
    <w:pPr>
      <w:keepNext/>
      <w:spacing w:after="120" w:before="240"/>
      <w:contextualSpacing w:val="false"/>
      <w:jc w:val="left"/>
    </w:pPr>
    <w:rPr>
      <w:rFonts w:ascii="Liberation Sans" w:cs="FreeSans" w:eastAsia="Noto Sans CJK SC" w:hAnsi="Liberation Sans"/>
      <w:sz w:val="28"/>
      <w:szCs w:val="28"/>
    </w:rPr>
  </w:style>
  <w:style w:styleId="style117" w:type="paragraph">
    <w:name w:val="caption"/>
    <w:basedOn w:val="style0"/>
    <w:next w:val="style117"/>
    <w:pPr>
      <w:suppressLineNumbers/>
      <w:spacing w:after="120" w:before="120"/>
      <w:contextualSpacing w:val="false"/>
    </w:pPr>
    <w:rPr>
      <w:rFonts w:cs="FreeSans"/>
      <w:i/>
      <w:iCs/>
      <w:sz w:val="24"/>
    </w:rPr>
  </w:style>
  <w:style w:styleId="style118" w:type="paragraph">
    <w:name w:val="Quote"/>
    <w:basedOn w:val="style0"/>
    <w:next w:val="style118"/>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contextualSpacing w:val="false"/>
      <w:jc w:val="both"/>
    </w:pPr>
    <w:rPr>
      <w:rFonts w:eastAsia="Calibri"/>
      <w:i/>
      <w:iCs/>
      <w:color w:val="000000"/>
      <w:lang w:eastAsia="en-US"/>
    </w:rPr>
  </w:style>
  <w:style w:styleId="style119" w:type="paragraph">
    <w:name w:val="Nivel 01"/>
    <w:basedOn w:val="style1"/>
    <w:next w:val="style119"/>
    <w:pPr>
      <w:spacing w:after="120" w:before="480"/>
      <w:ind w:hanging="0" w:left="0" w:right="-15"/>
      <w:contextualSpacing w:val="false"/>
    </w:pPr>
    <w:rPr>
      <w:rFonts w:cs="Times New Roman"/>
      <w:b w:val="false"/>
      <w:bCs/>
      <w:color w:val="000000"/>
      <w:szCs w:val="20"/>
    </w:rPr>
  </w:style>
  <w:style w:styleId="style120" w:type="paragraph">
    <w:name w:val="PADRÃO"/>
    <w:next w:val="style120"/>
    <w:pPr>
      <w:keepNext/>
      <w:widowControl w:val="false"/>
      <w:shd w:fill="FFFFFF" w:val="clear"/>
      <w:suppressAutoHyphens w:val="true"/>
      <w:spacing w:after="119" w:before="119" w:line="276" w:lineRule="auto"/>
      <w:ind w:firstLine="567" w:left="0" w:right="0"/>
      <w:contextualSpacing w:val="false"/>
      <w:jc w:val="both"/>
      <w:textAlignment w:val="baseline"/>
    </w:pPr>
    <w:rPr>
      <w:rFonts w:ascii="Ecofont_Spranq_eco_Sans" w:cs="Lohit Hindi" w:eastAsia="WenQuanYi Micro Hei" w:hAnsi="Ecofont_Spranq_eco_Sans"/>
      <w:color w:val="00000A"/>
      <w:sz w:val="20"/>
      <w:szCs w:val="24"/>
      <w:lang w:bidi="hi-IN" w:eastAsia="zh-CN" w:val="pt-BR"/>
    </w:rPr>
  </w:style>
  <w:style w:styleId="style121" w:type="paragraph">
    <w:name w:val="List Paragraph"/>
    <w:basedOn w:val="style0"/>
    <w:next w:val="style121"/>
    <w:pPr>
      <w:spacing w:after="0" w:before="0"/>
      <w:ind w:hanging="0" w:left="720" w:right="0"/>
      <w:contextualSpacing/>
    </w:pPr>
    <w:rPr/>
  </w:style>
  <w:style w:styleId="style122" w:type="paragraph">
    <w:name w:val="citação 2"/>
    <w:basedOn w:val="style118"/>
    <w:next w:val="style122"/>
    <w:pPr>
      <w:shd w:fill="FFFFCC" w:val="clear"/>
    </w:pPr>
    <w:rPr>
      <w:szCs w:val="20"/>
    </w:rPr>
  </w:style>
  <w:style w:styleId="style123" w:type="paragraph">
    <w:name w:val="Citação1"/>
    <w:basedOn w:val="style0"/>
    <w:next w:val="style123"/>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contextualSpacing w:val="false"/>
      <w:jc w:val="both"/>
    </w:pPr>
    <w:rPr>
      <w:rFonts w:ascii="Ecofont_Spranq_eco_Sans" w:eastAsia="Calibri" w:hAnsi="Ecofont_Spranq_eco_Sans"/>
      <w:i/>
      <w:iCs/>
      <w:color w:val="000000"/>
      <w:sz w:val="22"/>
      <w:szCs w:val="22"/>
      <w:lang w:eastAsia="en-US"/>
    </w:rPr>
  </w:style>
  <w:style w:styleId="style124" w:type="paragraph">
    <w:name w:val="annotation text"/>
    <w:basedOn w:val="style0"/>
    <w:next w:val="style124"/>
    <w:pPr/>
    <w:rPr>
      <w:szCs w:val="20"/>
    </w:rPr>
  </w:style>
  <w:style w:styleId="style125" w:type="paragraph">
    <w:name w:val="annotation subject"/>
    <w:basedOn w:val="style124"/>
    <w:next w:val="style125"/>
    <w:pPr/>
    <w:rPr>
      <w:b/>
      <w:bCs/>
    </w:rPr>
  </w:style>
  <w:style w:styleId="style126" w:type="paragraph">
    <w:name w:val="Nivel1"/>
    <w:basedOn w:val="style1"/>
    <w:next w:val="style126"/>
    <w:pPr>
      <w:spacing w:after="120" w:before="480"/>
      <w:ind w:hanging="0" w:left="644" w:right="0"/>
      <w:contextualSpacing w:val="false"/>
    </w:pPr>
    <w:rPr>
      <w:rFonts w:cs="Times New Roman"/>
      <w:b w:val="false"/>
      <w:color w:val="000000"/>
      <w:szCs w:val="20"/>
    </w:rPr>
  </w:style>
  <w:style w:styleId="style127" w:type="paragraph">
    <w:name w:val="Nivel 2"/>
    <w:next w:val="style127"/>
    <w:pPr>
      <w:widowControl/>
      <w:suppressAutoHyphens w:val="true"/>
      <w:spacing w:after="120" w:before="120" w:line="276" w:lineRule="auto"/>
      <w:contextualSpacing w:val="false"/>
      <w:jc w:val="both"/>
    </w:pPr>
    <w:rPr>
      <w:rFonts w:ascii="Ecofont_Spranq_eco_Sans" w:cs="Times New Roman" w:eastAsia="Arial Unicode MS" w:hAnsi="Ecofont_Spranq_eco_Sans"/>
      <w:color w:val="00000A"/>
      <w:sz w:val="20"/>
      <w:szCs w:val="20"/>
      <w:lang w:bidi="ar-SA" w:eastAsia="pt-BR" w:val="pt-BR"/>
    </w:rPr>
  </w:style>
  <w:style w:styleId="style128" w:type="paragraph">
    <w:name w:val="Nivel 1"/>
    <w:basedOn w:val="style127"/>
    <w:next w:val="style128"/>
    <w:pPr/>
    <w:rPr>
      <w:rFonts w:cs="Arial"/>
      <w:b/>
    </w:rPr>
  </w:style>
  <w:style w:styleId="style129" w:type="paragraph">
    <w:name w:val="Nivel 3"/>
    <w:basedOn w:val="style127"/>
    <w:next w:val="style129"/>
    <w:pPr/>
    <w:rPr>
      <w:rFonts w:cs="Arial"/>
      <w:color w:val="000000"/>
    </w:rPr>
  </w:style>
  <w:style w:styleId="style130" w:type="paragraph">
    <w:name w:val="Nivel 4"/>
    <w:basedOn w:val="style129"/>
    <w:next w:val="style130"/>
    <w:pPr/>
    <w:rPr>
      <w:color w:val="00000A"/>
    </w:rPr>
  </w:style>
  <w:style w:styleId="style131" w:type="paragraph">
    <w:name w:val="Nivel 5"/>
    <w:basedOn w:val="style130"/>
    <w:next w:val="style131"/>
    <w:pPr>
      <w:tabs>
        <w:tab w:leader="none" w:pos="360" w:val="left"/>
      </w:tabs>
    </w:pPr>
    <w:rPr/>
  </w:style>
  <w:style w:styleId="style132" w:type="paragraph">
    <w:name w:val="Balloon Text"/>
    <w:basedOn w:val="style0"/>
    <w:next w:val="style132"/>
    <w:pPr/>
    <w:rPr>
      <w:rFonts w:ascii="Segoe UI" w:cs="Segoe UI" w:hAnsi="Segoe UI"/>
      <w:sz w:val="18"/>
      <w:szCs w:val="18"/>
    </w:rPr>
  </w:style>
  <w:style w:styleId="style133" w:type="paragraph">
    <w:name w:val="Cabeçalho e Rodapé"/>
    <w:basedOn w:val="style0"/>
    <w:next w:val="style133"/>
    <w:pPr/>
    <w:rPr/>
  </w:style>
  <w:style w:styleId="style134" w:type="paragraph">
    <w:name w:val="Cabeçalho"/>
    <w:basedOn w:val="style0"/>
    <w:next w:val="style134"/>
    <w:pPr>
      <w:tabs>
        <w:tab w:leader="none" w:pos="4252" w:val="center"/>
        <w:tab w:leader="none" w:pos="8504" w:val="right"/>
      </w:tabs>
    </w:pPr>
    <w:rPr/>
  </w:style>
  <w:style w:styleId="style135" w:type="paragraph">
    <w:name w:val="Rodapé"/>
    <w:basedOn w:val="style0"/>
    <w:next w:val="style135"/>
    <w:pPr>
      <w:tabs>
        <w:tab w:leader="none" w:pos="4252" w:val="center"/>
        <w:tab w:leader="none" w:pos="8504" w:val="right"/>
      </w:tabs>
    </w:pPr>
    <w:rPr/>
  </w:style>
  <w:style w:styleId="style136" w:type="paragraph">
    <w:name w:val="Nivel_01_Titulo"/>
    <w:basedOn w:val="style1"/>
    <w:next w:val="style136"/>
    <w:pPr>
      <w:tabs>
        <w:tab w:leader="none" w:pos="360" w:val="left"/>
        <w:tab w:leader="none" w:pos="567" w:val="left"/>
      </w:tabs>
    </w:pPr>
    <w:rPr>
      <w:rFonts w:cs="Times New Roman"/>
      <w:b w:val="false"/>
      <w:bCs/>
      <w:szCs w:val="20"/>
    </w:rPr>
  </w:style>
  <w:style w:styleId="style137" w:type="paragraph">
    <w:name w:val="Revision"/>
    <w:next w:val="style137"/>
    <w:pPr>
      <w:widowControl/>
      <w:suppressAutoHyphens w:val="true"/>
      <w:spacing w:after="0" w:before="0" w:line="100" w:lineRule="atLeast"/>
      <w:contextualSpacing w:val="false"/>
      <w:jc w:val="left"/>
    </w:pPr>
    <w:rPr>
      <w:rFonts w:ascii="Arial" w:cs="Tahoma" w:eastAsia="Times New Roman" w:hAnsi="Arial"/>
      <w:color w:val="00000A"/>
      <w:sz w:val="20"/>
      <w:szCs w:val="24"/>
      <w:lang w:bidi="ar-SA" w:eastAsia="pt-BR" w:val="pt-BR"/>
    </w:rPr>
  </w:style>
  <w:style w:styleId="style138" w:type="paragraph">
    <w:name w:val="Título do sumário"/>
    <w:basedOn w:val="style1"/>
    <w:next w:val="style138"/>
    <w:pPr>
      <w:keepNext/>
      <w:keepLines/>
      <w:suppressAutoHyphens w:val="false"/>
      <w:spacing w:after="0" w:before="240" w:line="252" w:lineRule="auto"/>
      <w:contextualSpacing w:val="false"/>
      <w:jc w:val="left"/>
      <w:textAlignment w:val="auto"/>
    </w:pPr>
    <w:rPr>
      <w:rFonts w:ascii="Calibri Light" w:cs="" w:eastAsia="" w:hAnsi="Calibri Light"/>
      <w:b w:val="false"/>
      <w:color w:val="2E74B5"/>
      <w:sz w:val="32"/>
      <w:szCs w:val="32"/>
      <w:lang w:bidi="ar-SA" w:eastAsia="pt-BR"/>
    </w:rPr>
  </w:style>
  <w:style w:styleId="style139" w:type="paragraph">
    <w:name w:val="Sumário 1"/>
    <w:basedOn w:val="style0"/>
    <w:next w:val="style139"/>
    <w:pPr>
      <w:spacing w:after="100" w:before="0"/>
      <w:contextualSpacing w:val="fals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image" Target="media/image12.wmf"/><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67-de-8-de-julho-de-2021" TargetMode="External"/><Relationship Id="rId8" Type="http://schemas.openxmlformats.org/officeDocument/2006/relationships/hyperlink" Target="http://www.gov.br/compras" TargetMode="External"/><Relationship Id="rId9" Type="http://schemas.openxmlformats.org/officeDocument/2006/relationships/hyperlink" Target="http://www.pncp.gov.br/" TargetMode="External"/><Relationship Id="rId10" Type="http://schemas.openxmlformats.org/officeDocument/2006/relationships/hyperlink" Target="https://www.gov.br/compras/pt-br/sistemas/conheca-o-compras/aplicativo-compras" TargetMode="External"/><Relationship Id="rId11" Type="http://schemas.openxmlformats.org/officeDocument/2006/relationships/hyperlink" Target="http://www.planalto.gov.br/ccivil_03/LEIS/L6404consol.htm" TargetMode="External"/><Relationship Id="rId12" Type="http://schemas.openxmlformats.org/officeDocument/2006/relationships/hyperlink" Target="https://www3.comprasnet.gov.br/sicaf-web/index.jsf" TargetMode="External"/><Relationship Id="rId13" Type="http://schemas.openxmlformats.org/officeDocument/2006/relationships/hyperlink" Target="https://portaldatransparencia.gov.br/sancoes/consulta?cadastro=1%2C2" TargetMode="External"/><Relationship Id="rId14" Type="http://schemas.openxmlformats.org/officeDocument/2006/relationships/hyperlink" Target="https://portaldatransparencia.gov.br/sancoes/consulta?cadastro=1%2C2"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18" Type="http://schemas.openxmlformats.org/officeDocument/2006/relationships/hyperlink" Target="https://www.gov.br/empresas-e-negocios/pt-br/empreendedor" TargetMode="External"/><Relationship Id="rId19" Type="http://schemas.openxmlformats.org/officeDocument/2006/relationships/hyperlink" Target="https://www.planalto.gov.br/ccivil_03/leis/lcp/lcp123.htm" TargetMode="External"/><Relationship Id="rId20" Type="http://schemas.openxmlformats.org/officeDocument/2006/relationships/comments" Target="comment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1.png"/>
</Relationships>
</file>

<file path=docProps/app.xml><?xml version="1.0" encoding="utf-8"?>
<Properties xmlns="http://schemas.openxmlformats.org/officeDocument/2006/extended-properties" xmlns:vt="http://schemas.openxmlformats.org/officeDocument/2006/docPropsVTypes">
  <Template>Normal</Template>
  <TotalTime>77</TotalTime>
  <Application>LibreOffice/4.1.4.2$Windows_x86 LibreOffice_project/0a0440ccc0227ad9829de5f46be37cfb6edcf72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2023-01-06T14:30:00Z</dcterms:created>
  <dc:language>pt</dc:language>
  <cp:lastPrinted>2023-01-30T11:09:58Z</cp:lastPrinted>
  <dcterms:modified xsi:type="dcterms:W3CDTF">2023-01-30T11:07:21Z</dcterms:modified>
  <cp:revision>23</cp:revision>
</cp:coreProperties>
</file>